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D0" w:rsidRDefault="00BE5BF2" w:rsidP="00BE5BF2">
      <w:pPr>
        <w:pStyle w:val="Heading1"/>
        <w:jc w:val="center"/>
        <w:rPr>
          <w:rFonts w:asciiTheme="minorHAnsi" w:hAnsiTheme="minorHAnsi" w:cstheme="minorHAnsi"/>
        </w:rPr>
      </w:pPr>
      <w:r w:rsidRPr="00BE5BF2">
        <w:rPr>
          <w:rFonts w:asciiTheme="minorHAnsi" w:hAnsiTheme="minorHAnsi" w:cstheme="minorHAnsi"/>
        </w:rPr>
        <w:t xml:space="preserve">IPEDS </w:t>
      </w:r>
      <w:r>
        <w:rPr>
          <w:rFonts w:asciiTheme="minorHAnsi" w:hAnsiTheme="minorHAnsi" w:cstheme="minorHAnsi"/>
        </w:rPr>
        <w:t>Data Feedback Report 2017 Executive Summary</w:t>
      </w:r>
    </w:p>
    <w:p w:rsidR="00412C27" w:rsidRDefault="00412C27" w:rsidP="00412C27"/>
    <w:p w:rsidR="00184C6F" w:rsidRDefault="00412C27" w:rsidP="00184C6F">
      <w:r>
        <w:t>The 2017 IPEDS Data Feedback Report compares selective variable</w:t>
      </w:r>
      <w:r w:rsidR="00F53165">
        <w:t>s</w:t>
      </w:r>
      <w:r>
        <w:t xml:space="preserve"> for TLU and our institutional comparison group of 34 institutions.  The comparison group statistic used is the median values for all figures and data provided in the report. Overall, TLU is above the median values of the comparison group for most of the variables and is indicative of a group with schools ranked both above and below TLU.  Because we now have two years of comparative data with this comparison group, this year’s executive summary will focus on differences between the 2016 and 2017 Feedback Report.  In general, the 2016 report used data submitted in the 2015-2016 academic year while the 2017 report used data submitted in the 2016-2017 academic year.</w:t>
      </w:r>
      <w:r w:rsidR="00184C6F">
        <w:t xml:space="preserve">  </w:t>
      </w:r>
      <w:r w:rsidR="00F26FB8">
        <w:t xml:space="preserve">Overall, TLU’s data is better than the median for the comparison group in most metrics.  </w:t>
      </w:r>
      <w:r w:rsidR="00184C6F">
        <w:t xml:space="preserve">However retention and graduation rates for TLU </w:t>
      </w:r>
      <w:r w:rsidR="00767ED7">
        <w:t>lag substantially behind the median for the comparison group.</w:t>
      </w:r>
    </w:p>
    <w:p w:rsidR="00184C6F" w:rsidRDefault="00184C6F" w:rsidP="00184C6F">
      <w:pPr>
        <w:pStyle w:val="ListParagraph"/>
        <w:numPr>
          <w:ilvl w:val="0"/>
          <w:numId w:val="2"/>
        </w:numPr>
      </w:pPr>
      <w:r>
        <w:t>TLU’s “sticker” price and average net price are both substantially lower than the median of the comparison group for both the 2016 and 2017 Feedback reports.</w:t>
      </w:r>
    </w:p>
    <w:tbl>
      <w:tblPr>
        <w:tblW w:w="8701" w:type="dxa"/>
        <w:jc w:val="center"/>
        <w:tblLook w:val="04A0" w:firstRow="1" w:lastRow="0" w:firstColumn="1" w:lastColumn="0" w:noHBand="0" w:noVBand="1"/>
      </w:tblPr>
      <w:tblGrid>
        <w:gridCol w:w="2156"/>
        <w:gridCol w:w="1590"/>
        <w:gridCol w:w="1602"/>
        <w:gridCol w:w="1738"/>
        <w:gridCol w:w="1615"/>
      </w:tblGrid>
      <w:tr w:rsidR="007C01A2" w:rsidRPr="007C01A2" w:rsidTr="007C01A2">
        <w:trPr>
          <w:trHeight w:val="315"/>
          <w:jc w:val="center"/>
        </w:trPr>
        <w:tc>
          <w:tcPr>
            <w:tcW w:w="8701" w:type="dxa"/>
            <w:gridSpan w:val="5"/>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sz w:val="24"/>
                <w:szCs w:val="24"/>
              </w:rPr>
            </w:pPr>
            <w:r w:rsidRPr="007C01A2">
              <w:rPr>
                <w:rFonts w:ascii="Calibri" w:eastAsia="Times New Roman" w:hAnsi="Calibri" w:cs="Calibri"/>
                <w:b/>
                <w:bCs/>
                <w:color w:val="000000"/>
                <w:sz w:val="24"/>
                <w:szCs w:val="24"/>
              </w:rPr>
              <w:t>Student Costs</w:t>
            </w:r>
          </w:p>
        </w:tc>
      </w:tr>
      <w:tr w:rsidR="007C01A2" w:rsidRPr="007C01A2" w:rsidTr="00F53165">
        <w:trPr>
          <w:trHeight w:val="422"/>
          <w:jc w:val="center"/>
        </w:trPr>
        <w:tc>
          <w:tcPr>
            <w:tcW w:w="2156" w:type="dxa"/>
            <w:tcBorders>
              <w:top w:val="single" w:sz="4" w:space="0" w:color="auto"/>
              <w:left w:val="single" w:sz="4" w:space="0" w:color="auto"/>
              <w:bottom w:val="nil"/>
              <w:right w:val="single" w:sz="4" w:space="0" w:color="auto"/>
            </w:tcBorders>
            <w:shd w:val="clear" w:color="000000" w:fill="DDD9C4"/>
            <w:noWrap/>
            <w:vAlign w:val="bottom"/>
            <w:hideMark/>
          </w:tcPr>
          <w:p w:rsidR="007C01A2" w:rsidRPr="007C01A2" w:rsidRDefault="007C01A2" w:rsidP="007C01A2">
            <w:pPr>
              <w:spacing w:after="0" w:line="240" w:lineRule="auto"/>
              <w:rPr>
                <w:rFonts w:ascii="Calibri" w:eastAsia="Times New Roman" w:hAnsi="Calibri" w:cs="Calibri"/>
                <w:b/>
                <w:bCs/>
                <w:color w:val="000000"/>
              </w:rPr>
            </w:pPr>
            <w:r w:rsidRPr="007C01A2">
              <w:rPr>
                <w:rFonts w:ascii="Calibri" w:eastAsia="Times New Roman" w:hAnsi="Calibri" w:cs="Calibri"/>
                <w:b/>
                <w:bCs/>
                <w:color w:val="000000"/>
              </w:rPr>
              <w:t> </w:t>
            </w:r>
          </w:p>
        </w:tc>
        <w:tc>
          <w:tcPr>
            <w:tcW w:w="3192" w:type="dxa"/>
            <w:gridSpan w:val="2"/>
            <w:tcBorders>
              <w:top w:val="single" w:sz="4" w:space="0" w:color="auto"/>
              <w:left w:val="nil"/>
              <w:bottom w:val="nil"/>
              <w:right w:val="single" w:sz="4" w:space="0" w:color="000000"/>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From 2015-2016 Report</w:t>
            </w:r>
          </w:p>
        </w:tc>
        <w:tc>
          <w:tcPr>
            <w:tcW w:w="3353" w:type="dxa"/>
            <w:gridSpan w:val="2"/>
            <w:tcBorders>
              <w:top w:val="single" w:sz="4" w:space="0" w:color="auto"/>
              <w:left w:val="nil"/>
              <w:bottom w:val="nil"/>
              <w:right w:val="single" w:sz="4" w:space="0" w:color="000000"/>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From 2016-2017 Report</w:t>
            </w:r>
          </w:p>
        </w:tc>
      </w:tr>
      <w:tr w:rsidR="007C01A2" w:rsidRPr="007C01A2" w:rsidTr="007C01A2">
        <w:trPr>
          <w:trHeight w:val="600"/>
          <w:jc w:val="center"/>
        </w:trPr>
        <w:tc>
          <w:tcPr>
            <w:tcW w:w="2156" w:type="dxa"/>
            <w:tcBorders>
              <w:top w:val="nil"/>
              <w:left w:val="single" w:sz="4" w:space="0" w:color="auto"/>
              <w:bottom w:val="single" w:sz="4" w:space="0" w:color="auto"/>
              <w:right w:val="single" w:sz="4" w:space="0" w:color="auto"/>
            </w:tcBorders>
            <w:shd w:val="clear" w:color="000000" w:fill="DDD9C4"/>
            <w:noWrap/>
            <w:vAlign w:val="bottom"/>
            <w:hideMark/>
          </w:tcPr>
          <w:p w:rsidR="007C01A2" w:rsidRPr="007C01A2" w:rsidRDefault="007C01A2" w:rsidP="007C01A2">
            <w:pPr>
              <w:spacing w:after="0" w:line="240" w:lineRule="auto"/>
              <w:rPr>
                <w:rFonts w:ascii="Calibri" w:eastAsia="Times New Roman" w:hAnsi="Calibri" w:cs="Calibri"/>
                <w:b/>
                <w:bCs/>
                <w:color w:val="000000"/>
              </w:rPr>
            </w:pPr>
            <w:r w:rsidRPr="007C01A2">
              <w:rPr>
                <w:rFonts w:ascii="Calibri" w:eastAsia="Times New Roman" w:hAnsi="Calibri" w:cs="Calibri"/>
                <w:b/>
                <w:bCs/>
                <w:color w:val="000000"/>
              </w:rPr>
              <w:t>Measures</w:t>
            </w:r>
          </w:p>
        </w:tc>
        <w:tc>
          <w:tcPr>
            <w:tcW w:w="1590" w:type="dxa"/>
            <w:tcBorders>
              <w:top w:val="nil"/>
              <w:left w:val="nil"/>
              <w:bottom w:val="single" w:sz="4" w:space="0" w:color="auto"/>
              <w:right w:val="nil"/>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TLU</w:t>
            </w:r>
          </w:p>
        </w:tc>
        <w:tc>
          <w:tcPr>
            <w:tcW w:w="1602" w:type="dxa"/>
            <w:tcBorders>
              <w:top w:val="nil"/>
              <w:left w:val="nil"/>
              <w:bottom w:val="single" w:sz="4" w:space="0" w:color="auto"/>
              <w:right w:val="single" w:sz="4" w:space="0" w:color="auto"/>
            </w:tcBorders>
            <w:shd w:val="clear" w:color="000000" w:fill="DDD9C4"/>
            <w:vAlign w:val="bottom"/>
            <w:hideMark/>
          </w:tcPr>
          <w:p w:rsidR="007C01A2" w:rsidRPr="007C01A2" w:rsidRDefault="007C01A2" w:rsidP="007C01A2">
            <w:pPr>
              <w:spacing w:after="0" w:line="240" w:lineRule="auto"/>
              <w:jc w:val="right"/>
              <w:rPr>
                <w:rFonts w:ascii="Calibri" w:eastAsia="Times New Roman" w:hAnsi="Calibri" w:cs="Calibri"/>
                <w:b/>
                <w:bCs/>
                <w:color w:val="000000"/>
              </w:rPr>
            </w:pPr>
            <w:r w:rsidRPr="007C01A2">
              <w:rPr>
                <w:rFonts w:ascii="Calibri" w:eastAsia="Times New Roman" w:hAnsi="Calibri" w:cs="Calibri"/>
                <w:b/>
                <w:bCs/>
                <w:color w:val="000000"/>
              </w:rPr>
              <w:t>Comparison Grp Median</w:t>
            </w:r>
          </w:p>
        </w:tc>
        <w:tc>
          <w:tcPr>
            <w:tcW w:w="1738" w:type="dxa"/>
            <w:tcBorders>
              <w:top w:val="nil"/>
              <w:left w:val="nil"/>
              <w:bottom w:val="single" w:sz="4" w:space="0" w:color="auto"/>
              <w:right w:val="nil"/>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TLU</w:t>
            </w:r>
          </w:p>
        </w:tc>
        <w:tc>
          <w:tcPr>
            <w:tcW w:w="1615" w:type="dxa"/>
            <w:tcBorders>
              <w:top w:val="nil"/>
              <w:left w:val="nil"/>
              <w:bottom w:val="single" w:sz="4" w:space="0" w:color="auto"/>
              <w:right w:val="single" w:sz="4" w:space="0" w:color="auto"/>
            </w:tcBorders>
            <w:shd w:val="clear" w:color="000000" w:fill="DDD9C4"/>
            <w:vAlign w:val="bottom"/>
            <w:hideMark/>
          </w:tcPr>
          <w:p w:rsidR="007C01A2" w:rsidRPr="007C01A2" w:rsidRDefault="007C01A2" w:rsidP="007C01A2">
            <w:pPr>
              <w:spacing w:after="0" w:line="240" w:lineRule="auto"/>
              <w:jc w:val="right"/>
              <w:rPr>
                <w:rFonts w:ascii="Calibri" w:eastAsia="Times New Roman" w:hAnsi="Calibri" w:cs="Calibri"/>
                <w:b/>
                <w:bCs/>
                <w:color w:val="000000"/>
              </w:rPr>
            </w:pPr>
            <w:r w:rsidRPr="007C01A2">
              <w:rPr>
                <w:rFonts w:ascii="Calibri" w:eastAsia="Times New Roman" w:hAnsi="Calibri" w:cs="Calibri"/>
                <w:b/>
                <w:bCs/>
                <w:color w:val="000000"/>
              </w:rPr>
              <w:t>Comparison Grp Median</w:t>
            </w:r>
          </w:p>
        </w:tc>
      </w:tr>
      <w:tr w:rsidR="007C01A2" w:rsidRPr="007C01A2" w:rsidTr="007C01A2">
        <w:trPr>
          <w:trHeight w:val="300"/>
          <w:jc w:val="center"/>
        </w:trPr>
        <w:tc>
          <w:tcPr>
            <w:tcW w:w="2156" w:type="dxa"/>
            <w:tcBorders>
              <w:top w:val="nil"/>
              <w:left w:val="single" w:sz="4" w:space="0" w:color="auto"/>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Sticker Price</w:t>
            </w:r>
          </w:p>
        </w:tc>
        <w:tc>
          <w:tcPr>
            <w:tcW w:w="1590"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27,900 </w:t>
            </w:r>
          </w:p>
        </w:tc>
        <w:tc>
          <w:tcPr>
            <w:tcW w:w="1602"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29,629 </w:t>
            </w:r>
          </w:p>
        </w:tc>
        <w:tc>
          <w:tcPr>
            <w:tcW w:w="1738" w:type="dxa"/>
            <w:tcBorders>
              <w:top w:val="nil"/>
              <w:left w:val="nil"/>
              <w:bottom w:val="nil"/>
              <w:right w:val="nil"/>
            </w:tcBorders>
            <w:shd w:val="clear" w:color="auto" w:fill="auto"/>
            <w:noWrap/>
            <w:vAlign w:val="bottom"/>
            <w:hideMark/>
          </w:tcPr>
          <w:p w:rsidR="007C01A2" w:rsidRPr="007C01A2" w:rsidRDefault="007C01A2" w:rsidP="0059137B">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w:t>
            </w:r>
            <w:r w:rsidR="0059137B">
              <w:rPr>
                <w:rFonts w:ascii="Calibri" w:eastAsia="Times New Roman" w:hAnsi="Calibri" w:cs="Calibri"/>
                <w:color w:val="000000"/>
              </w:rPr>
              <w:t xml:space="preserve">  </w:t>
            </w:r>
            <w:r w:rsidRPr="007C01A2">
              <w:rPr>
                <w:rFonts w:ascii="Calibri" w:eastAsia="Times New Roman" w:hAnsi="Calibri" w:cs="Calibri"/>
                <w:color w:val="000000"/>
              </w:rPr>
              <w:t>28</w:t>
            </w:r>
            <w:r w:rsidR="0059137B">
              <w:rPr>
                <w:rFonts w:ascii="Calibri" w:eastAsia="Times New Roman" w:hAnsi="Calibri" w:cs="Calibri"/>
                <w:color w:val="000000"/>
              </w:rPr>
              <w:t>,</w:t>
            </w:r>
            <w:r w:rsidRPr="007C01A2">
              <w:rPr>
                <w:rFonts w:ascii="Calibri" w:eastAsia="Times New Roman" w:hAnsi="Calibri" w:cs="Calibri"/>
                <w:color w:val="000000"/>
              </w:rPr>
              <w:t xml:space="preserve">910 </w:t>
            </w:r>
          </w:p>
        </w:tc>
        <w:tc>
          <w:tcPr>
            <w:tcW w:w="1615"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30,640 </w:t>
            </w:r>
          </w:p>
        </w:tc>
      </w:tr>
      <w:tr w:rsidR="007C01A2" w:rsidRPr="007C01A2" w:rsidTr="007C01A2">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Average Net Price</w:t>
            </w:r>
          </w:p>
        </w:tc>
        <w:tc>
          <w:tcPr>
            <w:tcW w:w="1590" w:type="dxa"/>
            <w:tcBorders>
              <w:top w:val="nil"/>
              <w:left w:val="nil"/>
              <w:bottom w:val="single" w:sz="4" w:space="0" w:color="auto"/>
              <w:right w:val="nil"/>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19,149 </w:t>
            </w:r>
          </w:p>
        </w:tc>
        <w:tc>
          <w:tcPr>
            <w:tcW w:w="1602" w:type="dxa"/>
            <w:tcBorders>
              <w:top w:val="nil"/>
              <w:left w:val="nil"/>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20,873 </w:t>
            </w:r>
          </w:p>
        </w:tc>
        <w:tc>
          <w:tcPr>
            <w:tcW w:w="1738" w:type="dxa"/>
            <w:tcBorders>
              <w:top w:val="nil"/>
              <w:left w:val="nil"/>
              <w:bottom w:val="single" w:sz="4" w:space="0" w:color="auto"/>
              <w:right w:val="nil"/>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20,694 </w:t>
            </w:r>
          </w:p>
        </w:tc>
        <w:tc>
          <w:tcPr>
            <w:tcW w:w="1615" w:type="dxa"/>
            <w:tcBorders>
              <w:top w:val="nil"/>
              <w:left w:val="nil"/>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 xml:space="preserve"> $        21,526 </w:t>
            </w:r>
          </w:p>
        </w:tc>
      </w:tr>
    </w:tbl>
    <w:p w:rsidR="00184C6F" w:rsidRDefault="00184C6F" w:rsidP="00412C27"/>
    <w:p w:rsidR="00184C6F" w:rsidRDefault="00184C6F" w:rsidP="00184C6F">
      <w:pPr>
        <w:pStyle w:val="ListParagraph"/>
        <w:numPr>
          <w:ilvl w:val="0"/>
          <w:numId w:val="2"/>
        </w:numPr>
      </w:pPr>
      <w:r>
        <w:t xml:space="preserve">Admissions measures indicate </w:t>
      </w:r>
      <w:r w:rsidR="00DD513E">
        <w:t>T</w:t>
      </w:r>
      <w:r>
        <w:t xml:space="preserve">LU has more applicants and converts more admitted students to enrolled students than the median of our comparison group.  Additionally, the percent of those applicants admitted is lower for TLU than the comparison group and is often considered to be </w:t>
      </w:r>
      <w:r w:rsidR="00DD513E">
        <w:t xml:space="preserve">a </w:t>
      </w:r>
      <w:r>
        <w:t>selectivity indicator.</w:t>
      </w:r>
    </w:p>
    <w:tbl>
      <w:tblPr>
        <w:tblW w:w="8700" w:type="dxa"/>
        <w:jc w:val="center"/>
        <w:tblLook w:val="04A0" w:firstRow="1" w:lastRow="0" w:firstColumn="1" w:lastColumn="0" w:noHBand="0" w:noVBand="1"/>
      </w:tblPr>
      <w:tblGrid>
        <w:gridCol w:w="3033"/>
        <w:gridCol w:w="816"/>
        <w:gridCol w:w="2009"/>
        <w:gridCol w:w="816"/>
        <w:gridCol w:w="2026"/>
      </w:tblGrid>
      <w:tr w:rsidR="00DD513E" w:rsidRPr="00DD513E" w:rsidTr="00DD513E">
        <w:trPr>
          <w:trHeight w:val="315"/>
          <w:jc w:val="center"/>
        </w:trPr>
        <w:tc>
          <w:tcPr>
            <w:tcW w:w="8700" w:type="dxa"/>
            <w:gridSpan w:val="5"/>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center"/>
              <w:rPr>
                <w:rFonts w:ascii="Calibri" w:eastAsia="Times New Roman" w:hAnsi="Calibri" w:cs="Calibri"/>
                <w:b/>
                <w:bCs/>
                <w:color w:val="000000"/>
                <w:sz w:val="24"/>
                <w:szCs w:val="24"/>
              </w:rPr>
            </w:pPr>
            <w:r w:rsidRPr="00DD513E">
              <w:rPr>
                <w:rFonts w:ascii="Calibri" w:eastAsia="Times New Roman" w:hAnsi="Calibri" w:cs="Calibri"/>
                <w:b/>
                <w:bCs/>
                <w:color w:val="000000"/>
                <w:sz w:val="24"/>
                <w:szCs w:val="24"/>
              </w:rPr>
              <w:t>Admissions</w:t>
            </w:r>
          </w:p>
        </w:tc>
      </w:tr>
      <w:tr w:rsidR="00DD513E" w:rsidRPr="00DD513E" w:rsidTr="00DD513E">
        <w:trPr>
          <w:trHeight w:val="300"/>
          <w:jc w:val="center"/>
        </w:trPr>
        <w:tc>
          <w:tcPr>
            <w:tcW w:w="3033" w:type="dxa"/>
            <w:tcBorders>
              <w:top w:val="single" w:sz="4" w:space="0" w:color="auto"/>
              <w:left w:val="single" w:sz="4" w:space="0" w:color="auto"/>
              <w:bottom w:val="nil"/>
              <w:right w:val="single" w:sz="4" w:space="0" w:color="auto"/>
            </w:tcBorders>
            <w:shd w:val="clear" w:color="000000" w:fill="DDD9C4"/>
            <w:noWrap/>
            <w:vAlign w:val="bottom"/>
            <w:hideMark/>
          </w:tcPr>
          <w:p w:rsidR="00DD513E" w:rsidRPr="00DD513E" w:rsidRDefault="00DD513E" w:rsidP="00DD513E">
            <w:pPr>
              <w:spacing w:after="0" w:line="240" w:lineRule="auto"/>
              <w:rPr>
                <w:rFonts w:ascii="Calibri" w:eastAsia="Times New Roman" w:hAnsi="Calibri" w:cs="Calibri"/>
                <w:b/>
                <w:bCs/>
                <w:color w:val="000000"/>
              </w:rPr>
            </w:pPr>
            <w:r w:rsidRPr="00DD513E">
              <w:rPr>
                <w:rFonts w:ascii="Calibri" w:eastAsia="Times New Roman" w:hAnsi="Calibri" w:cs="Calibri"/>
                <w:b/>
                <w:bCs/>
                <w:color w:val="000000"/>
              </w:rPr>
              <w:t> </w:t>
            </w:r>
          </w:p>
        </w:tc>
        <w:tc>
          <w:tcPr>
            <w:tcW w:w="2825" w:type="dxa"/>
            <w:gridSpan w:val="2"/>
            <w:tcBorders>
              <w:top w:val="single" w:sz="4" w:space="0" w:color="auto"/>
              <w:left w:val="nil"/>
              <w:bottom w:val="nil"/>
              <w:right w:val="single" w:sz="4" w:space="0" w:color="000000"/>
            </w:tcBorders>
            <w:shd w:val="clear" w:color="000000" w:fill="DDD9C4"/>
            <w:noWrap/>
            <w:vAlign w:val="bottom"/>
            <w:hideMark/>
          </w:tcPr>
          <w:p w:rsidR="00DD513E" w:rsidRPr="00DD513E" w:rsidRDefault="00DD513E" w:rsidP="00DD513E">
            <w:pPr>
              <w:spacing w:after="0" w:line="240" w:lineRule="auto"/>
              <w:jc w:val="center"/>
              <w:rPr>
                <w:rFonts w:ascii="Calibri" w:eastAsia="Times New Roman" w:hAnsi="Calibri" w:cs="Calibri"/>
                <w:b/>
                <w:bCs/>
                <w:color w:val="000000"/>
              </w:rPr>
            </w:pPr>
            <w:r w:rsidRPr="00DD513E">
              <w:rPr>
                <w:rFonts w:ascii="Calibri" w:eastAsia="Times New Roman" w:hAnsi="Calibri" w:cs="Calibri"/>
                <w:b/>
                <w:bCs/>
                <w:color w:val="000000"/>
              </w:rPr>
              <w:t>From 2015-2016 Report</w:t>
            </w:r>
          </w:p>
        </w:tc>
        <w:tc>
          <w:tcPr>
            <w:tcW w:w="2842" w:type="dxa"/>
            <w:gridSpan w:val="2"/>
            <w:tcBorders>
              <w:top w:val="single" w:sz="4" w:space="0" w:color="auto"/>
              <w:left w:val="nil"/>
              <w:bottom w:val="nil"/>
              <w:right w:val="single" w:sz="4" w:space="0" w:color="000000"/>
            </w:tcBorders>
            <w:shd w:val="clear" w:color="000000" w:fill="DDD9C4"/>
            <w:noWrap/>
            <w:vAlign w:val="bottom"/>
            <w:hideMark/>
          </w:tcPr>
          <w:p w:rsidR="00DD513E" w:rsidRPr="00DD513E" w:rsidRDefault="00DD513E" w:rsidP="00DD513E">
            <w:pPr>
              <w:spacing w:after="0" w:line="240" w:lineRule="auto"/>
              <w:jc w:val="center"/>
              <w:rPr>
                <w:rFonts w:ascii="Calibri" w:eastAsia="Times New Roman" w:hAnsi="Calibri" w:cs="Calibri"/>
                <w:b/>
                <w:bCs/>
                <w:color w:val="000000"/>
              </w:rPr>
            </w:pPr>
            <w:r w:rsidRPr="00DD513E">
              <w:rPr>
                <w:rFonts w:ascii="Calibri" w:eastAsia="Times New Roman" w:hAnsi="Calibri" w:cs="Calibri"/>
                <w:b/>
                <w:bCs/>
                <w:color w:val="000000"/>
              </w:rPr>
              <w:t>From 2016-2017 Report</w:t>
            </w:r>
          </w:p>
        </w:tc>
      </w:tr>
      <w:tr w:rsidR="00DD513E" w:rsidRPr="00DD513E" w:rsidTr="00DD513E">
        <w:trPr>
          <w:trHeight w:val="600"/>
          <w:jc w:val="center"/>
        </w:trPr>
        <w:tc>
          <w:tcPr>
            <w:tcW w:w="3033" w:type="dxa"/>
            <w:tcBorders>
              <w:top w:val="nil"/>
              <w:left w:val="single" w:sz="4" w:space="0" w:color="auto"/>
              <w:bottom w:val="single" w:sz="4" w:space="0" w:color="auto"/>
              <w:right w:val="single" w:sz="4" w:space="0" w:color="auto"/>
            </w:tcBorders>
            <w:shd w:val="clear" w:color="000000" w:fill="DDD9C4"/>
            <w:noWrap/>
            <w:vAlign w:val="bottom"/>
            <w:hideMark/>
          </w:tcPr>
          <w:p w:rsidR="00DD513E" w:rsidRPr="00DD513E" w:rsidRDefault="00DD513E" w:rsidP="00DD513E">
            <w:pPr>
              <w:spacing w:after="0" w:line="240" w:lineRule="auto"/>
              <w:rPr>
                <w:rFonts w:ascii="Calibri" w:eastAsia="Times New Roman" w:hAnsi="Calibri" w:cs="Calibri"/>
                <w:b/>
                <w:bCs/>
                <w:color w:val="000000"/>
              </w:rPr>
            </w:pPr>
            <w:r w:rsidRPr="00DD513E">
              <w:rPr>
                <w:rFonts w:ascii="Calibri" w:eastAsia="Times New Roman" w:hAnsi="Calibri" w:cs="Calibri"/>
                <w:b/>
                <w:bCs/>
                <w:color w:val="000000"/>
              </w:rPr>
              <w:t>Measures</w:t>
            </w:r>
          </w:p>
        </w:tc>
        <w:tc>
          <w:tcPr>
            <w:tcW w:w="816" w:type="dxa"/>
            <w:tcBorders>
              <w:top w:val="nil"/>
              <w:left w:val="nil"/>
              <w:bottom w:val="single" w:sz="4" w:space="0" w:color="auto"/>
              <w:right w:val="nil"/>
            </w:tcBorders>
            <w:shd w:val="clear" w:color="000000" w:fill="DDD9C4"/>
            <w:noWrap/>
            <w:vAlign w:val="bottom"/>
            <w:hideMark/>
          </w:tcPr>
          <w:p w:rsidR="00DD513E" w:rsidRPr="00DD513E" w:rsidRDefault="00DD513E" w:rsidP="00DD513E">
            <w:pPr>
              <w:spacing w:after="0" w:line="240" w:lineRule="auto"/>
              <w:jc w:val="center"/>
              <w:rPr>
                <w:rFonts w:ascii="Calibri" w:eastAsia="Times New Roman" w:hAnsi="Calibri" w:cs="Calibri"/>
                <w:b/>
                <w:bCs/>
                <w:color w:val="000000"/>
              </w:rPr>
            </w:pPr>
            <w:r w:rsidRPr="00DD513E">
              <w:rPr>
                <w:rFonts w:ascii="Calibri" w:eastAsia="Times New Roman" w:hAnsi="Calibri" w:cs="Calibri"/>
                <w:b/>
                <w:bCs/>
                <w:color w:val="000000"/>
              </w:rPr>
              <w:t>TLU</w:t>
            </w:r>
          </w:p>
        </w:tc>
        <w:tc>
          <w:tcPr>
            <w:tcW w:w="2009" w:type="dxa"/>
            <w:tcBorders>
              <w:top w:val="nil"/>
              <w:left w:val="nil"/>
              <w:bottom w:val="single" w:sz="4" w:space="0" w:color="auto"/>
              <w:right w:val="single" w:sz="4" w:space="0" w:color="auto"/>
            </w:tcBorders>
            <w:shd w:val="clear" w:color="000000" w:fill="DDD9C4"/>
            <w:vAlign w:val="bottom"/>
            <w:hideMark/>
          </w:tcPr>
          <w:p w:rsidR="00DD513E" w:rsidRPr="00DD513E" w:rsidRDefault="00DD513E" w:rsidP="00DD513E">
            <w:pPr>
              <w:spacing w:after="0" w:line="240" w:lineRule="auto"/>
              <w:jc w:val="right"/>
              <w:rPr>
                <w:rFonts w:ascii="Calibri" w:eastAsia="Times New Roman" w:hAnsi="Calibri" w:cs="Calibri"/>
                <w:b/>
                <w:bCs/>
                <w:color w:val="000000"/>
              </w:rPr>
            </w:pPr>
            <w:r w:rsidRPr="00DD513E">
              <w:rPr>
                <w:rFonts w:ascii="Calibri" w:eastAsia="Times New Roman" w:hAnsi="Calibri" w:cs="Calibri"/>
                <w:b/>
                <w:bCs/>
                <w:color w:val="000000"/>
              </w:rPr>
              <w:t>Comparison Grp Median</w:t>
            </w:r>
          </w:p>
        </w:tc>
        <w:tc>
          <w:tcPr>
            <w:tcW w:w="816" w:type="dxa"/>
            <w:tcBorders>
              <w:top w:val="nil"/>
              <w:left w:val="nil"/>
              <w:bottom w:val="single" w:sz="4" w:space="0" w:color="auto"/>
              <w:right w:val="nil"/>
            </w:tcBorders>
            <w:shd w:val="clear" w:color="000000" w:fill="DDD9C4"/>
            <w:noWrap/>
            <w:vAlign w:val="bottom"/>
            <w:hideMark/>
          </w:tcPr>
          <w:p w:rsidR="00DD513E" w:rsidRPr="00DD513E" w:rsidRDefault="00DD513E" w:rsidP="00DD513E">
            <w:pPr>
              <w:spacing w:after="0" w:line="240" w:lineRule="auto"/>
              <w:jc w:val="center"/>
              <w:rPr>
                <w:rFonts w:ascii="Calibri" w:eastAsia="Times New Roman" w:hAnsi="Calibri" w:cs="Calibri"/>
                <w:b/>
                <w:bCs/>
                <w:color w:val="000000"/>
              </w:rPr>
            </w:pPr>
            <w:r w:rsidRPr="00DD513E">
              <w:rPr>
                <w:rFonts w:ascii="Calibri" w:eastAsia="Times New Roman" w:hAnsi="Calibri" w:cs="Calibri"/>
                <w:b/>
                <w:bCs/>
                <w:color w:val="000000"/>
              </w:rPr>
              <w:t>TLU</w:t>
            </w:r>
          </w:p>
        </w:tc>
        <w:tc>
          <w:tcPr>
            <w:tcW w:w="2026" w:type="dxa"/>
            <w:tcBorders>
              <w:top w:val="nil"/>
              <w:left w:val="nil"/>
              <w:bottom w:val="single" w:sz="4" w:space="0" w:color="auto"/>
              <w:right w:val="single" w:sz="4" w:space="0" w:color="auto"/>
            </w:tcBorders>
            <w:shd w:val="clear" w:color="000000" w:fill="DDD9C4"/>
            <w:vAlign w:val="bottom"/>
            <w:hideMark/>
          </w:tcPr>
          <w:p w:rsidR="00DD513E" w:rsidRPr="00DD513E" w:rsidRDefault="00DD513E" w:rsidP="00DD513E">
            <w:pPr>
              <w:spacing w:after="0" w:line="240" w:lineRule="auto"/>
              <w:jc w:val="right"/>
              <w:rPr>
                <w:rFonts w:ascii="Calibri" w:eastAsia="Times New Roman" w:hAnsi="Calibri" w:cs="Calibri"/>
                <w:b/>
                <w:bCs/>
                <w:color w:val="000000"/>
              </w:rPr>
            </w:pPr>
            <w:r w:rsidRPr="00DD513E">
              <w:rPr>
                <w:rFonts w:ascii="Calibri" w:eastAsia="Times New Roman" w:hAnsi="Calibri" w:cs="Calibri"/>
                <w:b/>
                <w:bCs/>
                <w:color w:val="000000"/>
              </w:rPr>
              <w:t>Comparison Grp Median</w:t>
            </w:r>
          </w:p>
        </w:tc>
      </w:tr>
      <w:tr w:rsidR="00DD513E" w:rsidRPr="00DD513E" w:rsidTr="00DD513E">
        <w:trPr>
          <w:trHeight w:val="300"/>
          <w:jc w:val="center"/>
        </w:trPr>
        <w:tc>
          <w:tcPr>
            <w:tcW w:w="3033" w:type="dxa"/>
            <w:tcBorders>
              <w:top w:val="nil"/>
              <w:left w:val="single" w:sz="4" w:space="0" w:color="auto"/>
              <w:bottom w:val="nil"/>
              <w:right w:val="single" w:sz="4" w:space="0" w:color="auto"/>
            </w:tcBorders>
            <w:shd w:val="clear" w:color="auto" w:fill="auto"/>
            <w:noWrap/>
            <w:vAlign w:val="bottom"/>
            <w:hideMark/>
          </w:tcPr>
          <w:p w:rsidR="00DD513E" w:rsidRPr="00DD513E" w:rsidRDefault="00DD513E" w:rsidP="00DD513E">
            <w:pPr>
              <w:spacing w:after="0" w:line="240" w:lineRule="auto"/>
              <w:rPr>
                <w:rFonts w:ascii="Calibri" w:eastAsia="Times New Roman" w:hAnsi="Calibri" w:cs="Calibri"/>
                <w:color w:val="000000"/>
              </w:rPr>
            </w:pPr>
            <w:r w:rsidRPr="00DD513E">
              <w:rPr>
                <w:rFonts w:ascii="Calibri" w:eastAsia="Times New Roman" w:hAnsi="Calibri" w:cs="Calibri"/>
                <w:color w:val="000000"/>
              </w:rPr>
              <w:t># of Applicants</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1863</w:t>
            </w:r>
          </w:p>
        </w:tc>
        <w:tc>
          <w:tcPr>
            <w:tcW w:w="2009"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1742</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2131</w:t>
            </w:r>
          </w:p>
        </w:tc>
        <w:tc>
          <w:tcPr>
            <w:tcW w:w="2026"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1863</w:t>
            </w:r>
          </w:p>
        </w:tc>
      </w:tr>
      <w:tr w:rsidR="00DD513E" w:rsidRPr="00DD513E" w:rsidTr="00DD513E">
        <w:trPr>
          <w:trHeight w:val="300"/>
          <w:jc w:val="center"/>
        </w:trPr>
        <w:tc>
          <w:tcPr>
            <w:tcW w:w="3033" w:type="dxa"/>
            <w:tcBorders>
              <w:top w:val="nil"/>
              <w:left w:val="single" w:sz="4" w:space="0" w:color="auto"/>
              <w:bottom w:val="nil"/>
              <w:right w:val="single" w:sz="4" w:space="0" w:color="auto"/>
            </w:tcBorders>
            <w:shd w:val="clear" w:color="auto" w:fill="auto"/>
            <w:noWrap/>
            <w:vAlign w:val="bottom"/>
            <w:hideMark/>
          </w:tcPr>
          <w:p w:rsidR="00DD513E" w:rsidRPr="00DD513E" w:rsidRDefault="00DD513E" w:rsidP="00DD513E">
            <w:pPr>
              <w:spacing w:after="0" w:line="240" w:lineRule="auto"/>
              <w:rPr>
                <w:rFonts w:ascii="Calibri" w:eastAsia="Times New Roman" w:hAnsi="Calibri" w:cs="Calibri"/>
                <w:color w:val="000000"/>
              </w:rPr>
            </w:pPr>
            <w:r w:rsidRPr="00DD513E">
              <w:rPr>
                <w:rFonts w:ascii="Calibri" w:eastAsia="Times New Roman" w:hAnsi="Calibri" w:cs="Calibri"/>
                <w:color w:val="000000"/>
              </w:rPr>
              <w:t># Admitted</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945</w:t>
            </w:r>
          </w:p>
        </w:tc>
        <w:tc>
          <w:tcPr>
            <w:tcW w:w="2009"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1131</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908</w:t>
            </w:r>
          </w:p>
        </w:tc>
        <w:tc>
          <w:tcPr>
            <w:tcW w:w="2026"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1171</w:t>
            </w:r>
          </w:p>
        </w:tc>
      </w:tr>
      <w:tr w:rsidR="00DD513E" w:rsidRPr="00DD513E" w:rsidTr="00DD513E">
        <w:trPr>
          <w:trHeight w:val="300"/>
          <w:jc w:val="center"/>
        </w:trPr>
        <w:tc>
          <w:tcPr>
            <w:tcW w:w="3033" w:type="dxa"/>
            <w:tcBorders>
              <w:top w:val="nil"/>
              <w:left w:val="single" w:sz="4" w:space="0" w:color="auto"/>
              <w:bottom w:val="nil"/>
              <w:right w:val="single" w:sz="4" w:space="0" w:color="auto"/>
            </w:tcBorders>
            <w:shd w:val="clear" w:color="auto" w:fill="auto"/>
            <w:noWrap/>
            <w:vAlign w:val="bottom"/>
            <w:hideMark/>
          </w:tcPr>
          <w:p w:rsidR="00DD513E" w:rsidRPr="00DD513E" w:rsidRDefault="00DD513E" w:rsidP="00DD513E">
            <w:pPr>
              <w:spacing w:after="0" w:line="240" w:lineRule="auto"/>
              <w:rPr>
                <w:rFonts w:ascii="Calibri" w:eastAsia="Times New Roman" w:hAnsi="Calibri" w:cs="Calibri"/>
                <w:color w:val="000000"/>
              </w:rPr>
            </w:pPr>
            <w:r w:rsidRPr="00DD513E">
              <w:rPr>
                <w:rFonts w:ascii="Calibri" w:eastAsia="Times New Roman" w:hAnsi="Calibri" w:cs="Calibri"/>
                <w:color w:val="000000"/>
              </w:rPr>
              <w:t># Enrolled full time</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395</w:t>
            </w:r>
          </w:p>
        </w:tc>
        <w:tc>
          <w:tcPr>
            <w:tcW w:w="2009"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351</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377</w:t>
            </w:r>
          </w:p>
        </w:tc>
        <w:tc>
          <w:tcPr>
            <w:tcW w:w="2026"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326</w:t>
            </w:r>
          </w:p>
        </w:tc>
      </w:tr>
      <w:tr w:rsidR="00DD513E" w:rsidRPr="00DD513E" w:rsidTr="00DD513E">
        <w:trPr>
          <w:trHeight w:val="300"/>
          <w:jc w:val="center"/>
        </w:trPr>
        <w:tc>
          <w:tcPr>
            <w:tcW w:w="3033" w:type="dxa"/>
            <w:tcBorders>
              <w:top w:val="nil"/>
              <w:left w:val="single" w:sz="4" w:space="0" w:color="auto"/>
              <w:bottom w:val="nil"/>
              <w:right w:val="single" w:sz="4" w:space="0" w:color="auto"/>
            </w:tcBorders>
            <w:shd w:val="clear" w:color="auto" w:fill="auto"/>
            <w:noWrap/>
            <w:vAlign w:val="bottom"/>
            <w:hideMark/>
          </w:tcPr>
          <w:p w:rsidR="00DD513E" w:rsidRPr="00DD513E" w:rsidRDefault="00DD513E" w:rsidP="00DD513E">
            <w:pPr>
              <w:spacing w:after="0" w:line="240" w:lineRule="auto"/>
              <w:rPr>
                <w:rFonts w:ascii="Calibri" w:eastAsia="Times New Roman" w:hAnsi="Calibri" w:cs="Calibri"/>
                <w:color w:val="000000"/>
              </w:rPr>
            </w:pPr>
            <w:r w:rsidRPr="00DD513E">
              <w:rPr>
                <w:rFonts w:ascii="Calibri" w:eastAsia="Times New Roman" w:hAnsi="Calibri" w:cs="Calibri"/>
                <w:color w:val="000000"/>
              </w:rPr>
              <w:t>% Admitted</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51%</w:t>
            </w:r>
          </w:p>
        </w:tc>
        <w:tc>
          <w:tcPr>
            <w:tcW w:w="2009"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68%</w:t>
            </w:r>
          </w:p>
        </w:tc>
        <w:tc>
          <w:tcPr>
            <w:tcW w:w="816" w:type="dxa"/>
            <w:tcBorders>
              <w:top w:val="nil"/>
              <w:left w:val="nil"/>
              <w:bottom w:val="nil"/>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43%</w:t>
            </w:r>
          </w:p>
        </w:tc>
        <w:tc>
          <w:tcPr>
            <w:tcW w:w="2026" w:type="dxa"/>
            <w:tcBorders>
              <w:top w:val="nil"/>
              <w:left w:val="nil"/>
              <w:bottom w:val="nil"/>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40%</w:t>
            </w:r>
          </w:p>
        </w:tc>
      </w:tr>
      <w:tr w:rsidR="00DD513E" w:rsidRPr="00DD513E" w:rsidTr="00DD513E">
        <w:trPr>
          <w:trHeight w:val="300"/>
          <w:jc w:val="center"/>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rsidR="00DD513E" w:rsidRPr="00DD513E" w:rsidRDefault="00DD513E" w:rsidP="00DD513E">
            <w:pPr>
              <w:spacing w:after="0" w:line="240" w:lineRule="auto"/>
              <w:rPr>
                <w:rFonts w:ascii="Calibri" w:eastAsia="Times New Roman" w:hAnsi="Calibri" w:cs="Calibri"/>
                <w:color w:val="000000"/>
              </w:rPr>
            </w:pPr>
            <w:r w:rsidRPr="00DD513E">
              <w:rPr>
                <w:rFonts w:ascii="Calibri" w:eastAsia="Times New Roman" w:hAnsi="Calibri" w:cs="Calibri"/>
                <w:color w:val="000000"/>
              </w:rPr>
              <w:t>% Enrolled full time</w:t>
            </w:r>
          </w:p>
        </w:tc>
        <w:tc>
          <w:tcPr>
            <w:tcW w:w="816" w:type="dxa"/>
            <w:tcBorders>
              <w:top w:val="nil"/>
              <w:left w:val="nil"/>
              <w:bottom w:val="single" w:sz="4" w:space="0" w:color="auto"/>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42%</w:t>
            </w:r>
          </w:p>
        </w:tc>
        <w:tc>
          <w:tcPr>
            <w:tcW w:w="2009" w:type="dxa"/>
            <w:tcBorders>
              <w:top w:val="nil"/>
              <w:left w:val="nil"/>
              <w:bottom w:val="single" w:sz="4" w:space="0" w:color="auto"/>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24%</w:t>
            </w:r>
          </w:p>
        </w:tc>
        <w:tc>
          <w:tcPr>
            <w:tcW w:w="816" w:type="dxa"/>
            <w:tcBorders>
              <w:top w:val="nil"/>
              <w:left w:val="nil"/>
              <w:bottom w:val="single" w:sz="4" w:space="0" w:color="auto"/>
              <w:right w:val="nil"/>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42%</w:t>
            </w:r>
          </w:p>
        </w:tc>
        <w:tc>
          <w:tcPr>
            <w:tcW w:w="2026" w:type="dxa"/>
            <w:tcBorders>
              <w:top w:val="nil"/>
              <w:left w:val="nil"/>
              <w:bottom w:val="single" w:sz="4" w:space="0" w:color="auto"/>
              <w:right w:val="single" w:sz="4" w:space="0" w:color="auto"/>
            </w:tcBorders>
            <w:shd w:val="clear" w:color="auto" w:fill="auto"/>
            <w:noWrap/>
            <w:vAlign w:val="bottom"/>
            <w:hideMark/>
          </w:tcPr>
          <w:p w:rsidR="00DD513E" w:rsidRPr="00DD513E" w:rsidRDefault="00DD513E" w:rsidP="00DD513E">
            <w:pPr>
              <w:spacing w:after="0" w:line="240" w:lineRule="auto"/>
              <w:jc w:val="right"/>
              <w:rPr>
                <w:rFonts w:ascii="Calibri" w:eastAsia="Times New Roman" w:hAnsi="Calibri" w:cs="Calibri"/>
                <w:color w:val="000000"/>
              </w:rPr>
            </w:pPr>
            <w:r w:rsidRPr="00DD513E">
              <w:rPr>
                <w:rFonts w:ascii="Calibri" w:eastAsia="Times New Roman" w:hAnsi="Calibri" w:cs="Calibri"/>
                <w:color w:val="000000"/>
              </w:rPr>
              <w:t>26%</w:t>
            </w:r>
          </w:p>
        </w:tc>
      </w:tr>
    </w:tbl>
    <w:p w:rsidR="00784AB4" w:rsidRDefault="00784AB4" w:rsidP="00DD513E"/>
    <w:p w:rsidR="00DD513E" w:rsidRDefault="00784AB4" w:rsidP="00784AB4">
      <w:pPr>
        <w:pStyle w:val="ListParagraph"/>
        <w:numPr>
          <w:ilvl w:val="0"/>
          <w:numId w:val="2"/>
        </w:numPr>
      </w:pPr>
      <w:r>
        <w:t xml:space="preserve">Enrollment diversity and financial aid data show that TLU is more ethnically and socio-economically diverse in our student population than our comparison group.  </w:t>
      </w:r>
      <w:r w:rsidR="007C01A2">
        <w:t xml:space="preserve">TLU has a slightly higher Black/African American student population than the comparison group and a </w:t>
      </w:r>
      <w:r w:rsidR="007C01A2">
        <w:lastRenderedPageBreak/>
        <w:t>substantially larger Hispanic population.  The percent of undergraduate students receiving Pell grants and federal loans is higher than the comparison group.  Note that the smaller average amount of these federal financial aid awards is likely due to our lower cost of attendance than the comparison group.</w:t>
      </w:r>
    </w:p>
    <w:tbl>
      <w:tblPr>
        <w:tblW w:w="8700" w:type="dxa"/>
        <w:jc w:val="center"/>
        <w:tblLook w:val="04A0" w:firstRow="1" w:lastRow="0" w:firstColumn="1" w:lastColumn="0" w:noHBand="0" w:noVBand="1"/>
      </w:tblPr>
      <w:tblGrid>
        <w:gridCol w:w="4236"/>
        <w:gridCol w:w="597"/>
        <w:gridCol w:w="1648"/>
        <w:gridCol w:w="597"/>
        <w:gridCol w:w="1662"/>
      </w:tblGrid>
      <w:tr w:rsidR="007C01A2" w:rsidRPr="007C01A2" w:rsidTr="007C01A2">
        <w:trPr>
          <w:trHeight w:val="315"/>
          <w:jc w:val="center"/>
        </w:trPr>
        <w:tc>
          <w:tcPr>
            <w:tcW w:w="8700" w:type="dxa"/>
            <w:gridSpan w:val="5"/>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sz w:val="24"/>
                <w:szCs w:val="24"/>
              </w:rPr>
            </w:pPr>
            <w:r w:rsidRPr="007C01A2">
              <w:rPr>
                <w:rFonts w:ascii="Calibri" w:eastAsia="Times New Roman" w:hAnsi="Calibri" w:cs="Calibri"/>
                <w:b/>
                <w:bCs/>
                <w:color w:val="000000"/>
                <w:sz w:val="24"/>
                <w:szCs w:val="24"/>
              </w:rPr>
              <w:t>Enrollment Diversity</w:t>
            </w:r>
          </w:p>
        </w:tc>
      </w:tr>
      <w:tr w:rsidR="007C01A2" w:rsidRPr="007C01A2" w:rsidTr="007C01A2">
        <w:trPr>
          <w:trHeight w:val="300"/>
          <w:jc w:val="center"/>
        </w:trPr>
        <w:tc>
          <w:tcPr>
            <w:tcW w:w="4236" w:type="dxa"/>
            <w:tcBorders>
              <w:top w:val="single" w:sz="4" w:space="0" w:color="auto"/>
              <w:left w:val="single" w:sz="4" w:space="0" w:color="auto"/>
              <w:bottom w:val="nil"/>
              <w:right w:val="single" w:sz="4" w:space="0" w:color="auto"/>
            </w:tcBorders>
            <w:shd w:val="clear" w:color="000000" w:fill="DDD9C4"/>
            <w:noWrap/>
            <w:vAlign w:val="bottom"/>
            <w:hideMark/>
          </w:tcPr>
          <w:p w:rsidR="007C01A2" w:rsidRPr="007C01A2" w:rsidRDefault="007C01A2" w:rsidP="007C01A2">
            <w:pPr>
              <w:spacing w:after="0" w:line="240" w:lineRule="auto"/>
              <w:rPr>
                <w:rFonts w:ascii="Calibri" w:eastAsia="Times New Roman" w:hAnsi="Calibri" w:cs="Calibri"/>
                <w:b/>
                <w:bCs/>
                <w:color w:val="000000"/>
              </w:rPr>
            </w:pPr>
            <w:r w:rsidRPr="007C01A2">
              <w:rPr>
                <w:rFonts w:ascii="Calibri" w:eastAsia="Times New Roman" w:hAnsi="Calibri" w:cs="Calibri"/>
                <w:b/>
                <w:bCs/>
                <w:color w:val="000000"/>
              </w:rPr>
              <w:t> </w:t>
            </w:r>
          </w:p>
        </w:tc>
        <w:tc>
          <w:tcPr>
            <w:tcW w:w="2225" w:type="dxa"/>
            <w:gridSpan w:val="2"/>
            <w:tcBorders>
              <w:top w:val="single" w:sz="4" w:space="0" w:color="auto"/>
              <w:left w:val="nil"/>
              <w:bottom w:val="nil"/>
              <w:right w:val="single" w:sz="4" w:space="0" w:color="000000"/>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From 2015-2016 Report</w:t>
            </w:r>
          </w:p>
        </w:tc>
        <w:tc>
          <w:tcPr>
            <w:tcW w:w="2239" w:type="dxa"/>
            <w:gridSpan w:val="2"/>
            <w:tcBorders>
              <w:top w:val="single" w:sz="4" w:space="0" w:color="auto"/>
              <w:left w:val="nil"/>
              <w:bottom w:val="nil"/>
              <w:right w:val="single" w:sz="4" w:space="0" w:color="000000"/>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From 2016-2017 Report</w:t>
            </w:r>
          </w:p>
        </w:tc>
      </w:tr>
      <w:tr w:rsidR="007C01A2" w:rsidRPr="007C01A2" w:rsidTr="007C01A2">
        <w:trPr>
          <w:trHeight w:val="600"/>
          <w:jc w:val="center"/>
        </w:trPr>
        <w:tc>
          <w:tcPr>
            <w:tcW w:w="4236" w:type="dxa"/>
            <w:tcBorders>
              <w:top w:val="nil"/>
              <w:left w:val="single" w:sz="4" w:space="0" w:color="auto"/>
              <w:bottom w:val="single" w:sz="4" w:space="0" w:color="auto"/>
              <w:right w:val="single" w:sz="4" w:space="0" w:color="auto"/>
            </w:tcBorders>
            <w:shd w:val="clear" w:color="000000" w:fill="DDD9C4"/>
            <w:vAlign w:val="bottom"/>
            <w:hideMark/>
          </w:tcPr>
          <w:p w:rsidR="007C01A2" w:rsidRPr="007C01A2" w:rsidRDefault="007C01A2" w:rsidP="007C01A2">
            <w:pPr>
              <w:spacing w:after="0" w:line="240" w:lineRule="auto"/>
              <w:rPr>
                <w:rFonts w:ascii="Calibri" w:eastAsia="Times New Roman" w:hAnsi="Calibri" w:cs="Calibri"/>
                <w:b/>
                <w:bCs/>
                <w:color w:val="000000"/>
              </w:rPr>
            </w:pPr>
            <w:r w:rsidRPr="007C01A2">
              <w:rPr>
                <w:rFonts w:ascii="Calibri" w:eastAsia="Times New Roman" w:hAnsi="Calibri" w:cs="Calibri"/>
                <w:b/>
                <w:bCs/>
                <w:color w:val="000000"/>
              </w:rPr>
              <w:t>Race/ethnicity &amp; Gender Distribution</w:t>
            </w:r>
          </w:p>
        </w:tc>
        <w:tc>
          <w:tcPr>
            <w:tcW w:w="577" w:type="dxa"/>
            <w:tcBorders>
              <w:top w:val="nil"/>
              <w:left w:val="nil"/>
              <w:bottom w:val="single" w:sz="4" w:space="0" w:color="auto"/>
              <w:right w:val="nil"/>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TLU</w:t>
            </w:r>
          </w:p>
        </w:tc>
        <w:tc>
          <w:tcPr>
            <w:tcW w:w="1648" w:type="dxa"/>
            <w:tcBorders>
              <w:top w:val="nil"/>
              <w:left w:val="nil"/>
              <w:bottom w:val="single" w:sz="4" w:space="0" w:color="auto"/>
              <w:right w:val="single" w:sz="4" w:space="0" w:color="auto"/>
            </w:tcBorders>
            <w:shd w:val="clear" w:color="000000" w:fill="DDD9C4"/>
            <w:vAlign w:val="bottom"/>
            <w:hideMark/>
          </w:tcPr>
          <w:p w:rsidR="007C01A2" w:rsidRPr="007C01A2" w:rsidRDefault="007C01A2" w:rsidP="007C01A2">
            <w:pPr>
              <w:spacing w:after="0" w:line="240" w:lineRule="auto"/>
              <w:jc w:val="right"/>
              <w:rPr>
                <w:rFonts w:ascii="Calibri" w:eastAsia="Times New Roman" w:hAnsi="Calibri" w:cs="Calibri"/>
                <w:b/>
                <w:bCs/>
                <w:color w:val="000000"/>
              </w:rPr>
            </w:pPr>
            <w:r w:rsidRPr="007C01A2">
              <w:rPr>
                <w:rFonts w:ascii="Calibri" w:eastAsia="Times New Roman" w:hAnsi="Calibri" w:cs="Calibri"/>
                <w:b/>
                <w:bCs/>
                <w:color w:val="000000"/>
              </w:rPr>
              <w:t>Comparison Grp Median</w:t>
            </w:r>
          </w:p>
        </w:tc>
        <w:tc>
          <w:tcPr>
            <w:tcW w:w="577" w:type="dxa"/>
            <w:tcBorders>
              <w:top w:val="nil"/>
              <w:left w:val="nil"/>
              <w:bottom w:val="single" w:sz="4" w:space="0" w:color="auto"/>
              <w:right w:val="nil"/>
            </w:tcBorders>
            <w:shd w:val="clear" w:color="000000" w:fill="DDD9C4"/>
            <w:noWrap/>
            <w:vAlign w:val="bottom"/>
            <w:hideMark/>
          </w:tcPr>
          <w:p w:rsidR="007C01A2" w:rsidRPr="007C01A2" w:rsidRDefault="007C01A2" w:rsidP="007C01A2">
            <w:pPr>
              <w:spacing w:after="0" w:line="240" w:lineRule="auto"/>
              <w:jc w:val="center"/>
              <w:rPr>
                <w:rFonts w:ascii="Calibri" w:eastAsia="Times New Roman" w:hAnsi="Calibri" w:cs="Calibri"/>
                <w:b/>
                <w:bCs/>
                <w:color w:val="000000"/>
              </w:rPr>
            </w:pPr>
            <w:r w:rsidRPr="007C01A2">
              <w:rPr>
                <w:rFonts w:ascii="Calibri" w:eastAsia="Times New Roman" w:hAnsi="Calibri" w:cs="Calibri"/>
                <w:b/>
                <w:bCs/>
                <w:color w:val="000000"/>
              </w:rPr>
              <w:t>TLU</w:t>
            </w:r>
          </w:p>
        </w:tc>
        <w:tc>
          <w:tcPr>
            <w:tcW w:w="1662" w:type="dxa"/>
            <w:tcBorders>
              <w:top w:val="nil"/>
              <w:left w:val="nil"/>
              <w:bottom w:val="single" w:sz="4" w:space="0" w:color="auto"/>
              <w:right w:val="single" w:sz="4" w:space="0" w:color="auto"/>
            </w:tcBorders>
            <w:shd w:val="clear" w:color="000000" w:fill="DDD9C4"/>
            <w:vAlign w:val="bottom"/>
            <w:hideMark/>
          </w:tcPr>
          <w:p w:rsidR="007C01A2" w:rsidRPr="007C01A2" w:rsidRDefault="007C01A2" w:rsidP="007C01A2">
            <w:pPr>
              <w:spacing w:after="0" w:line="240" w:lineRule="auto"/>
              <w:jc w:val="right"/>
              <w:rPr>
                <w:rFonts w:ascii="Calibri" w:eastAsia="Times New Roman" w:hAnsi="Calibri" w:cs="Calibri"/>
                <w:b/>
                <w:bCs/>
                <w:color w:val="000000"/>
              </w:rPr>
            </w:pPr>
            <w:r w:rsidRPr="007C01A2">
              <w:rPr>
                <w:rFonts w:ascii="Calibri" w:eastAsia="Times New Roman" w:hAnsi="Calibri" w:cs="Calibri"/>
                <w:b/>
                <w:bCs/>
                <w:color w:val="000000"/>
              </w:rPr>
              <w:t>Comparison Grp Median</w:t>
            </w:r>
          </w:p>
        </w:tc>
      </w:tr>
      <w:tr w:rsidR="007C01A2" w:rsidRPr="007C01A2" w:rsidTr="007C01A2">
        <w:trPr>
          <w:trHeight w:val="300"/>
          <w:jc w:val="center"/>
        </w:trPr>
        <w:tc>
          <w:tcPr>
            <w:tcW w:w="4236" w:type="dxa"/>
            <w:tcBorders>
              <w:top w:val="nil"/>
              <w:left w:val="single" w:sz="4" w:space="0" w:color="auto"/>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Black/African American</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8%</w:t>
            </w:r>
          </w:p>
        </w:tc>
        <w:tc>
          <w:tcPr>
            <w:tcW w:w="1648"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6%</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9%</w:t>
            </w:r>
          </w:p>
        </w:tc>
        <w:tc>
          <w:tcPr>
            <w:tcW w:w="1662"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6%</w:t>
            </w:r>
          </w:p>
        </w:tc>
      </w:tr>
      <w:tr w:rsidR="007C01A2" w:rsidRPr="007C01A2" w:rsidTr="007C01A2">
        <w:trPr>
          <w:trHeight w:val="300"/>
          <w:jc w:val="center"/>
        </w:trPr>
        <w:tc>
          <w:tcPr>
            <w:tcW w:w="4236" w:type="dxa"/>
            <w:tcBorders>
              <w:top w:val="nil"/>
              <w:left w:val="single" w:sz="4" w:space="0" w:color="auto"/>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Hispanic</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32%</w:t>
            </w:r>
          </w:p>
        </w:tc>
        <w:tc>
          <w:tcPr>
            <w:tcW w:w="1648"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32%</w:t>
            </w:r>
          </w:p>
        </w:tc>
        <w:tc>
          <w:tcPr>
            <w:tcW w:w="1662"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6%</w:t>
            </w:r>
          </w:p>
        </w:tc>
      </w:tr>
      <w:tr w:rsidR="007C01A2" w:rsidRPr="007C01A2" w:rsidTr="007C01A2">
        <w:trPr>
          <w:trHeight w:val="300"/>
          <w:jc w:val="center"/>
        </w:trPr>
        <w:tc>
          <w:tcPr>
            <w:tcW w:w="4236" w:type="dxa"/>
            <w:tcBorders>
              <w:top w:val="nil"/>
              <w:left w:val="single" w:sz="4" w:space="0" w:color="auto"/>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White</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55%</w:t>
            </w:r>
          </w:p>
        </w:tc>
        <w:tc>
          <w:tcPr>
            <w:tcW w:w="1648"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70%</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54%</w:t>
            </w:r>
          </w:p>
        </w:tc>
        <w:tc>
          <w:tcPr>
            <w:tcW w:w="1662"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70%</w:t>
            </w:r>
          </w:p>
        </w:tc>
      </w:tr>
      <w:tr w:rsidR="007C01A2" w:rsidRPr="007C01A2" w:rsidTr="007C01A2">
        <w:trPr>
          <w:trHeight w:val="300"/>
          <w:jc w:val="center"/>
        </w:trPr>
        <w:tc>
          <w:tcPr>
            <w:tcW w:w="4236" w:type="dxa"/>
            <w:tcBorders>
              <w:top w:val="nil"/>
              <w:left w:val="single" w:sz="4" w:space="0" w:color="auto"/>
              <w:bottom w:val="nil"/>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All other races/ethnicities</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w:t>
            </w:r>
          </w:p>
        </w:tc>
        <w:tc>
          <w:tcPr>
            <w:tcW w:w="1648"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19%</w:t>
            </w:r>
          </w:p>
        </w:tc>
        <w:tc>
          <w:tcPr>
            <w:tcW w:w="577" w:type="dxa"/>
            <w:tcBorders>
              <w:top w:val="nil"/>
              <w:left w:val="nil"/>
              <w:bottom w:val="nil"/>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w:t>
            </w:r>
          </w:p>
        </w:tc>
        <w:tc>
          <w:tcPr>
            <w:tcW w:w="1662" w:type="dxa"/>
            <w:tcBorders>
              <w:top w:val="nil"/>
              <w:left w:val="nil"/>
              <w:bottom w:val="nil"/>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18%</w:t>
            </w:r>
          </w:p>
        </w:tc>
      </w:tr>
      <w:tr w:rsidR="007C01A2" w:rsidRPr="007C01A2" w:rsidTr="007C01A2">
        <w:trPr>
          <w:trHeight w:val="300"/>
          <w:jc w:val="center"/>
        </w:trPr>
        <w:tc>
          <w:tcPr>
            <w:tcW w:w="4236" w:type="dxa"/>
            <w:tcBorders>
              <w:top w:val="nil"/>
              <w:left w:val="single" w:sz="4" w:space="0" w:color="auto"/>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rPr>
                <w:rFonts w:ascii="Calibri" w:eastAsia="Times New Roman" w:hAnsi="Calibri" w:cs="Calibri"/>
                <w:color w:val="000000"/>
              </w:rPr>
            </w:pPr>
            <w:r w:rsidRPr="007C01A2">
              <w:rPr>
                <w:rFonts w:ascii="Calibri" w:eastAsia="Times New Roman" w:hAnsi="Calibri" w:cs="Calibri"/>
                <w:color w:val="000000"/>
              </w:rPr>
              <w:t>Women</w:t>
            </w:r>
          </w:p>
        </w:tc>
        <w:tc>
          <w:tcPr>
            <w:tcW w:w="577" w:type="dxa"/>
            <w:tcBorders>
              <w:top w:val="nil"/>
              <w:left w:val="nil"/>
              <w:bottom w:val="single" w:sz="4" w:space="0" w:color="auto"/>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51%</w:t>
            </w:r>
          </w:p>
        </w:tc>
        <w:tc>
          <w:tcPr>
            <w:tcW w:w="1648" w:type="dxa"/>
            <w:tcBorders>
              <w:top w:val="nil"/>
              <w:left w:val="nil"/>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60%</w:t>
            </w:r>
          </w:p>
        </w:tc>
        <w:tc>
          <w:tcPr>
            <w:tcW w:w="577" w:type="dxa"/>
            <w:tcBorders>
              <w:top w:val="nil"/>
              <w:left w:val="nil"/>
              <w:bottom w:val="single" w:sz="4" w:space="0" w:color="auto"/>
              <w:right w:val="nil"/>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51%</w:t>
            </w:r>
          </w:p>
        </w:tc>
        <w:tc>
          <w:tcPr>
            <w:tcW w:w="1662" w:type="dxa"/>
            <w:tcBorders>
              <w:top w:val="nil"/>
              <w:left w:val="nil"/>
              <w:bottom w:val="single" w:sz="4" w:space="0" w:color="auto"/>
              <w:right w:val="single" w:sz="4" w:space="0" w:color="auto"/>
            </w:tcBorders>
            <w:shd w:val="clear" w:color="auto" w:fill="auto"/>
            <w:noWrap/>
            <w:vAlign w:val="bottom"/>
            <w:hideMark/>
          </w:tcPr>
          <w:p w:rsidR="007C01A2" w:rsidRPr="007C01A2" w:rsidRDefault="007C01A2" w:rsidP="007C01A2">
            <w:pPr>
              <w:spacing w:after="0" w:line="240" w:lineRule="auto"/>
              <w:jc w:val="right"/>
              <w:rPr>
                <w:rFonts w:ascii="Calibri" w:eastAsia="Times New Roman" w:hAnsi="Calibri" w:cs="Calibri"/>
                <w:color w:val="000000"/>
              </w:rPr>
            </w:pPr>
            <w:r w:rsidRPr="007C01A2">
              <w:rPr>
                <w:rFonts w:ascii="Calibri" w:eastAsia="Times New Roman" w:hAnsi="Calibri" w:cs="Calibri"/>
                <w:color w:val="000000"/>
              </w:rPr>
              <w:t>60%</w:t>
            </w:r>
          </w:p>
        </w:tc>
      </w:tr>
    </w:tbl>
    <w:p w:rsidR="007C01A2" w:rsidRDefault="007C01A2" w:rsidP="007C01A2"/>
    <w:tbl>
      <w:tblPr>
        <w:tblW w:w="8700" w:type="dxa"/>
        <w:jc w:val="center"/>
        <w:tblLook w:val="04A0" w:firstRow="1" w:lastRow="0" w:firstColumn="1" w:lastColumn="0" w:noHBand="0" w:noVBand="1"/>
      </w:tblPr>
      <w:tblGrid>
        <w:gridCol w:w="2999"/>
        <w:gridCol w:w="1385"/>
        <w:gridCol w:w="1402"/>
        <w:gridCol w:w="1500"/>
        <w:gridCol w:w="1414"/>
      </w:tblGrid>
      <w:tr w:rsidR="00784AB4" w:rsidRPr="00784AB4" w:rsidTr="00784AB4">
        <w:trPr>
          <w:trHeight w:val="315"/>
          <w:jc w:val="center"/>
        </w:trPr>
        <w:tc>
          <w:tcPr>
            <w:tcW w:w="8700" w:type="dxa"/>
            <w:gridSpan w:val="5"/>
            <w:tcBorders>
              <w:top w:val="nil"/>
              <w:left w:val="nil"/>
              <w:bottom w:val="nil"/>
              <w:right w:val="nil"/>
            </w:tcBorders>
            <w:shd w:val="clear" w:color="auto" w:fill="auto"/>
            <w:noWrap/>
            <w:vAlign w:val="bottom"/>
            <w:hideMark/>
          </w:tcPr>
          <w:p w:rsidR="00784AB4" w:rsidRPr="00784AB4" w:rsidRDefault="00784AB4" w:rsidP="00784AB4">
            <w:pPr>
              <w:spacing w:after="0" w:line="240" w:lineRule="auto"/>
              <w:jc w:val="center"/>
              <w:rPr>
                <w:rFonts w:ascii="Calibri" w:eastAsia="Times New Roman" w:hAnsi="Calibri" w:cs="Calibri"/>
                <w:b/>
                <w:bCs/>
                <w:color w:val="000000"/>
                <w:sz w:val="24"/>
                <w:szCs w:val="24"/>
              </w:rPr>
            </w:pPr>
            <w:r w:rsidRPr="00784AB4">
              <w:rPr>
                <w:rFonts w:ascii="Calibri" w:eastAsia="Times New Roman" w:hAnsi="Calibri" w:cs="Calibri"/>
                <w:b/>
                <w:bCs/>
                <w:color w:val="000000"/>
                <w:sz w:val="24"/>
                <w:szCs w:val="24"/>
              </w:rPr>
              <w:t>Financial Aid</w:t>
            </w:r>
          </w:p>
        </w:tc>
      </w:tr>
      <w:tr w:rsidR="00784AB4" w:rsidRPr="00784AB4" w:rsidTr="00784AB4">
        <w:trPr>
          <w:trHeight w:val="300"/>
          <w:jc w:val="center"/>
        </w:trPr>
        <w:tc>
          <w:tcPr>
            <w:tcW w:w="2999" w:type="dxa"/>
            <w:tcBorders>
              <w:top w:val="single" w:sz="4" w:space="0" w:color="auto"/>
              <w:left w:val="single" w:sz="4" w:space="0" w:color="auto"/>
              <w:bottom w:val="nil"/>
              <w:right w:val="single" w:sz="4" w:space="0" w:color="auto"/>
            </w:tcBorders>
            <w:shd w:val="clear" w:color="000000" w:fill="DDD9C4"/>
            <w:noWrap/>
            <w:vAlign w:val="bottom"/>
            <w:hideMark/>
          </w:tcPr>
          <w:p w:rsidR="00784AB4" w:rsidRPr="00784AB4" w:rsidRDefault="00784AB4" w:rsidP="00784AB4">
            <w:pPr>
              <w:spacing w:after="0" w:line="240" w:lineRule="auto"/>
              <w:rPr>
                <w:rFonts w:ascii="Calibri" w:eastAsia="Times New Roman" w:hAnsi="Calibri" w:cs="Calibri"/>
                <w:b/>
                <w:bCs/>
                <w:color w:val="000000"/>
              </w:rPr>
            </w:pPr>
            <w:r w:rsidRPr="00784AB4">
              <w:rPr>
                <w:rFonts w:ascii="Calibri" w:eastAsia="Times New Roman" w:hAnsi="Calibri" w:cs="Calibri"/>
                <w:b/>
                <w:bCs/>
                <w:color w:val="000000"/>
              </w:rPr>
              <w:t> </w:t>
            </w:r>
          </w:p>
        </w:tc>
        <w:tc>
          <w:tcPr>
            <w:tcW w:w="2787" w:type="dxa"/>
            <w:gridSpan w:val="2"/>
            <w:tcBorders>
              <w:top w:val="single" w:sz="4" w:space="0" w:color="auto"/>
              <w:left w:val="nil"/>
              <w:bottom w:val="nil"/>
              <w:right w:val="single" w:sz="4" w:space="0" w:color="000000"/>
            </w:tcBorders>
            <w:shd w:val="clear" w:color="000000" w:fill="DDD9C4"/>
            <w:noWrap/>
            <w:vAlign w:val="bottom"/>
            <w:hideMark/>
          </w:tcPr>
          <w:p w:rsidR="00784AB4" w:rsidRPr="00784AB4" w:rsidRDefault="00784AB4" w:rsidP="00784AB4">
            <w:pPr>
              <w:spacing w:after="0" w:line="240" w:lineRule="auto"/>
              <w:jc w:val="center"/>
              <w:rPr>
                <w:rFonts w:ascii="Calibri" w:eastAsia="Times New Roman" w:hAnsi="Calibri" w:cs="Calibri"/>
                <w:b/>
                <w:bCs/>
                <w:color w:val="000000"/>
              </w:rPr>
            </w:pPr>
            <w:r w:rsidRPr="00784AB4">
              <w:rPr>
                <w:rFonts w:ascii="Calibri" w:eastAsia="Times New Roman" w:hAnsi="Calibri" w:cs="Calibri"/>
                <w:b/>
                <w:bCs/>
                <w:color w:val="000000"/>
              </w:rPr>
              <w:t>From 2015-2016 Report</w:t>
            </w:r>
          </w:p>
        </w:tc>
        <w:tc>
          <w:tcPr>
            <w:tcW w:w="2914" w:type="dxa"/>
            <w:gridSpan w:val="2"/>
            <w:tcBorders>
              <w:top w:val="single" w:sz="4" w:space="0" w:color="auto"/>
              <w:left w:val="nil"/>
              <w:bottom w:val="nil"/>
              <w:right w:val="single" w:sz="4" w:space="0" w:color="000000"/>
            </w:tcBorders>
            <w:shd w:val="clear" w:color="000000" w:fill="DDD9C4"/>
            <w:noWrap/>
            <w:vAlign w:val="bottom"/>
            <w:hideMark/>
          </w:tcPr>
          <w:p w:rsidR="00784AB4" w:rsidRPr="00784AB4" w:rsidRDefault="00784AB4" w:rsidP="00784AB4">
            <w:pPr>
              <w:spacing w:after="0" w:line="240" w:lineRule="auto"/>
              <w:jc w:val="center"/>
              <w:rPr>
                <w:rFonts w:ascii="Calibri" w:eastAsia="Times New Roman" w:hAnsi="Calibri" w:cs="Calibri"/>
                <w:b/>
                <w:bCs/>
                <w:color w:val="000000"/>
              </w:rPr>
            </w:pPr>
            <w:r w:rsidRPr="00784AB4">
              <w:rPr>
                <w:rFonts w:ascii="Calibri" w:eastAsia="Times New Roman" w:hAnsi="Calibri" w:cs="Calibri"/>
                <w:b/>
                <w:bCs/>
                <w:color w:val="000000"/>
              </w:rPr>
              <w:t>From 2016-2017 Report</w:t>
            </w:r>
          </w:p>
        </w:tc>
      </w:tr>
      <w:tr w:rsidR="00784AB4" w:rsidRPr="00784AB4" w:rsidTr="00784AB4">
        <w:trPr>
          <w:trHeight w:val="600"/>
          <w:jc w:val="center"/>
        </w:trPr>
        <w:tc>
          <w:tcPr>
            <w:tcW w:w="2999" w:type="dxa"/>
            <w:tcBorders>
              <w:top w:val="nil"/>
              <w:left w:val="single" w:sz="4" w:space="0" w:color="auto"/>
              <w:bottom w:val="single" w:sz="4" w:space="0" w:color="auto"/>
              <w:right w:val="single" w:sz="4" w:space="0" w:color="auto"/>
            </w:tcBorders>
            <w:shd w:val="clear" w:color="000000" w:fill="DDD9C4"/>
            <w:noWrap/>
            <w:vAlign w:val="bottom"/>
            <w:hideMark/>
          </w:tcPr>
          <w:p w:rsidR="00784AB4" w:rsidRPr="00784AB4" w:rsidRDefault="00784AB4" w:rsidP="00784AB4">
            <w:pPr>
              <w:spacing w:after="0" w:line="240" w:lineRule="auto"/>
              <w:rPr>
                <w:rFonts w:ascii="Calibri" w:eastAsia="Times New Roman" w:hAnsi="Calibri" w:cs="Calibri"/>
                <w:b/>
                <w:bCs/>
                <w:color w:val="000000"/>
              </w:rPr>
            </w:pPr>
            <w:r w:rsidRPr="00784AB4">
              <w:rPr>
                <w:rFonts w:ascii="Calibri" w:eastAsia="Times New Roman" w:hAnsi="Calibri" w:cs="Calibri"/>
                <w:b/>
                <w:bCs/>
                <w:color w:val="000000"/>
              </w:rPr>
              <w:t>Measures</w:t>
            </w:r>
          </w:p>
        </w:tc>
        <w:tc>
          <w:tcPr>
            <w:tcW w:w="1385" w:type="dxa"/>
            <w:tcBorders>
              <w:top w:val="nil"/>
              <w:left w:val="nil"/>
              <w:bottom w:val="single" w:sz="4" w:space="0" w:color="auto"/>
              <w:right w:val="nil"/>
            </w:tcBorders>
            <w:shd w:val="clear" w:color="000000" w:fill="DDD9C4"/>
            <w:noWrap/>
            <w:vAlign w:val="bottom"/>
            <w:hideMark/>
          </w:tcPr>
          <w:p w:rsidR="00784AB4" w:rsidRPr="00784AB4" w:rsidRDefault="00784AB4" w:rsidP="00784AB4">
            <w:pPr>
              <w:spacing w:after="0" w:line="240" w:lineRule="auto"/>
              <w:jc w:val="center"/>
              <w:rPr>
                <w:rFonts w:ascii="Calibri" w:eastAsia="Times New Roman" w:hAnsi="Calibri" w:cs="Calibri"/>
                <w:b/>
                <w:bCs/>
                <w:color w:val="000000"/>
              </w:rPr>
            </w:pPr>
            <w:r w:rsidRPr="00784AB4">
              <w:rPr>
                <w:rFonts w:ascii="Calibri" w:eastAsia="Times New Roman" w:hAnsi="Calibri" w:cs="Calibri"/>
                <w:b/>
                <w:bCs/>
                <w:color w:val="000000"/>
              </w:rPr>
              <w:t>TLU</w:t>
            </w:r>
          </w:p>
        </w:tc>
        <w:tc>
          <w:tcPr>
            <w:tcW w:w="1402" w:type="dxa"/>
            <w:tcBorders>
              <w:top w:val="nil"/>
              <w:left w:val="nil"/>
              <w:bottom w:val="single" w:sz="4" w:space="0" w:color="auto"/>
              <w:right w:val="single" w:sz="4" w:space="0" w:color="auto"/>
            </w:tcBorders>
            <w:shd w:val="clear" w:color="000000" w:fill="DDD9C4"/>
            <w:vAlign w:val="bottom"/>
            <w:hideMark/>
          </w:tcPr>
          <w:p w:rsidR="00784AB4" w:rsidRPr="00784AB4" w:rsidRDefault="00784AB4" w:rsidP="00784AB4">
            <w:pPr>
              <w:spacing w:after="0" w:line="240" w:lineRule="auto"/>
              <w:jc w:val="right"/>
              <w:rPr>
                <w:rFonts w:ascii="Calibri" w:eastAsia="Times New Roman" w:hAnsi="Calibri" w:cs="Calibri"/>
                <w:b/>
                <w:bCs/>
                <w:color w:val="000000"/>
              </w:rPr>
            </w:pPr>
            <w:r w:rsidRPr="00784AB4">
              <w:rPr>
                <w:rFonts w:ascii="Calibri" w:eastAsia="Times New Roman" w:hAnsi="Calibri" w:cs="Calibri"/>
                <w:b/>
                <w:bCs/>
                <w:color w:val="000000"/>
              </w:rPr>
              <w:t>Comparison Grp Median</w:t>
            </w:r>
          </w:p>
        </w:tc>
        <w:tc>
          <w:tcPr>
            <w:tcW w:w="1500" w:type="dxa"/>
            <w:tcBorders>
              <w:top w:val="nil"/>
              <w:left w:val="nil"/>
              <w:bottom w:val="single" w:sz="4" w:space="0" w:color="auto"/>
              <w:right w:val="nil"/>
            </w:tcBorders>
            <w:shd w:val="clear" w:color="000000" w:fill="DDD9C4"/>
            <w:noWrap/>
            <w:vAlign w:val="bottom"/>
            <w:hideMark/>
          </w:tcPr>
          <w:p w:rsidR="00784AB4" w:rsidRPr="00784AB4" w:rsidRDefault="00784AB4" w:rsidP="00784AB4">
            <w:pPr>
              <w:spacing w:after="0" w:line="240" w:lineRule="auto"/>
              <w:jc w:val="center"/>
              <w:rPr>
                <w:rFonts w:ascii="Calibri" w:eastAsia="Times New Roman" w:hAnsi="Calibri" w:cs="Calibri"/>
                <w:b/>
                <w:bCs/>
                <w:color w:val="000000"/>
              </w:rPr>
            </w:pPr>
            <w:r w:rsidRPr="00784AB4">
              <w:rPr>
                <w:rFonts w:ascii="Calibri" w:eastAsia="Times New Roman" w:hAnsi="Calibri" w:cs="Calibri"/>
                <w:b/>
                <w:bCs/>
                <w:color w:val="000000"/>
              </w:rPr>
              <w:t>TLU</w:t>
            </w:r>
          </w:p>
        </w:tc>
        <w:tc>
          <w:tcPr>
            <w:tcW w:w="1414" w:type="dxa"/>
            <w:tcBorders>
              <w:top w:val="nil"/>
              <w:left w:val="nil"/>
              <w:bottom w:val="single" w:sz="4" w:space="0" w:color="auto"/>
              <w:right w:val="single" w:sz="4" w:space="0" w:color="auto"/>
            </w:tcBorders>
            <w:shd w:val="clear" w:color="000000" w:fill="DDD9C4"/>
            <w:vAlign w:val="bottom"/>
            <w:hideMark/>
          </w:tcPr>
          <w:p w:rsidR="00784AB4" w:rsidRPr="00784AB4" w:rsidRDefault="00784AB4" w:rsidP="00784AB4">
            <w:pPr>
              <w:spacing w:after="0" w:line="240" w:lineRule="auto"/>
              <w:jc w:val="right"/>
              <w:rPr>
                <w:rFonts w:ascii="Calibri" w:eastAsia="Times New Roman" w:hAnsi="Calibri" w:cs="Calibri"/>
                <w:b/>
                <w:bCs/>
                <w:color w:val="000000"/>
              </w:rPr>
            </w:pPr>
            <w:r w:rsidRPr="00784AB4">
              <w:rPr>
                <w:rFonts w:ascii="Calibri" w:eastAsia="Times New Roman" w:hAnsi="Calibri" w:cs="Calibri"/>
                <w:b/>
                <w:bCs/>
                <w:color w:val="000000"/>
              </w:rPr>
              <w:t>Comparison Grp Median</w:t>
            </w:r>
          </w:p>
        </w:tc>
      </w:tr>
      <w:tr w:rsidR="00784AB4" w:rsidRPr="00784AB4" w:rsidTr="00784AB4">
        <w:trPr>
          <w:trHeight w:val="600"/>
          <w:jc w:val="center"/>
        </w:trPr>
        <w:tc>
          <w:tcPr>
            <w:tcW w:w="2999" w:type="dxa"/>
            <w:tcBorders>
              <w:top w:val="nil"/>
              <w:left w:val="single" w:sz="4" w:space="0" w:color="auto"/>
              <w:bottom w:val="nil"/>
              <w:right w:val="single" w:sz="4" w:space="0" w:color="auto"/>
            </w:tcBorders>
            <w:shd w:val="clear" w:color="auto" w:fill="auto"/>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of all undergraduates receiving Pell grants</w:t>
            </w:r>
          </w:p>
        </w:tc>
        <w:tc>
          <w:tcPr>
            <w:tcW w:w="1385"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40%</w:t>
            </w:r>
          </w:p>
        </w:tc>
        <w:tc>
          <w:tcPr>
            <w:tcW w:w="1402"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35%</w:t>
            </w:r>
          </w:p>
        </w:tc>
        <w:tc>
          <w:tcPr>
            <w:tcW w:w="1500"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36%</w:t>
            </w:r>
          </w:p>
        </w:tc>
        <w:tc>
          <w:tcPr>
            <w:tcW w:w="1414"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34%</w:t>
            </w:r>
          </w:p>
        </w:tc>
      </w:tr>
      <w:tr w:rsidR="00784AB4" w:rsidRPr="00784AB4" w:rsidTr="00784AB4">
        <w:trPr>
          <w:trHeight w:val="600"/>
          <w:jc w:val="center"/>
        </w:trPr>
        <w:tc>
          <w:tcPr>
            <w:tcW w:w="2999" w:type="dxa"/>
            <w:tcBorders>
              <w:top w:val="nil"/>
              <w:left w:val="single" w:sz="4" w:space="0" w:color="auto"/>
              <w:bottom w:val="nil"/>
              <w:right w:val="single" w:sz="4" w:space="0" w:color="auto"/>
            </w:tcBorders>
            <w:shd w:val="clear" w:color="auto" w:fill="auto"/>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of all undergraduates receiving federal loans</w:t>
            </w:r>
          </w:p>
        </w:tc>
        <w:tc>
          <w:tcPr>
            <w:tcW w:w="1385"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69%</w:t>
            </w:r>
          </w:p>
        </w:tc>
        <w:tc>
          <w:tcPr>
            <w:tcW w:w="1402"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69%</w:t>
            </w:r>
          </w:p>
        </w:tc>
        <w:tc>
          <w:tcPr>
            <w:tcW w:w="1500"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86%</w:t>
            </w:r>
          </w:p>
        </w:tc>
        <w:tc>
          <w:tcPr>
            <w:tcW w:w="1414"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jc w:val="right"/>
              <w:rPr>
                <w:rFonts w:ascii="Calibri" w:eastAsia="Times New Roman" w:hAnsi="Calibri" w:cs="Calibri"/>
                <w:color w:val="000000"/>
              </w:rPr>
            </w:pPr>
            <w:r w:rsidRPr="00784AB4">
              <w:rPr>
                <w:rFonts w:ascii="Calibri" w:eastAsia="Times New Roman" w:hAnsi="Calibri" w:cs="Calibri"/>
                <w:color w:val="000000"/>
              </w:rPr>
              <w:t>70%</w:t>
            </w:r>
          </w:p>
        </w:tc>
      </w:tr>
      <w:tr w:rsidR="00784AB4" w:rsidRPr="00784AB4" w:rsidTr="00784AB4">
        <w:trPr>
          <w:trHeight w:val="300"/>
          <w:jc w:val="center"/>
        </w:trPr>
        <w:tc>
          <w:tcPr>
            <w:tcW w:w="2999" w:type="dxa"/>
            <w:tcBorders>
              <w:top w:val="nil"/>
              <w:left w:val="single" w:sz="4" w:space="0" w:color="auto"/>
              <w:bottom w:val="nil"/>
              <w:right w:val="single" w:sz="4" w:space="0" w:color="auto"/>
            </w:tcBorders>
            <w:shd w:val="clear" w:color="auto" w:fill="auto"/>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Average amount of Pell grant</w:t>
            </w:r>
          </w:p>
        </w:tc>
        <w:tc>
          <w:tcPr>
            <w:tcW w:w="1385"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4,249 </w:t>
            </w:r>
          </w:p>
        </w:tc>
        <w:tc>
          <w:tcPr>
            <w:tcW w:w="1402"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4,173 </w:t>
            </w:r>
          </w:p>
        </w:tc>
        <w:tc>
          <w:tcPr>
            <w:tcW w:w="1500" w:type="dxa"/>
            <w:tcBorders>
              <w:top w:val="nil"/>
              <w:left w:val="nil"/>
              <w:bottom w:val="nil"/>
              <w:right w:val="nil"/>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3,959 </w:t>
            </w:r>
          </w:p>
        </w:tc>
        <w:tc>
          <w:tcPr>
            <w:tcW w:w="1414" w:type="dxa"/>
            <w:tcBorders>
              <w:top w:val="nil"/>
              <w:left w:val="nil"/>
              <w:bottom w:val="nil"/>
              <w:right w:val="single" w:sz="4" w:space="0" w:color="auto"/>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4,195 </w:t>
            </w:r>
          </w:p>
        </w:tc>
      </w:tr>
      <w:tr w:rsidR="00784AB4" w:rsidRPr="00784AB4" w:rsidTr="00784AB4">
        <w:trPr>
          <w:trHeight w:val="300"/>
          <w:jc w:val="center"/>
        </w:trPr>
        <w:tc>
          <w:tcPr>
            <w:tcW w:w="2999" w:type="dxa"/>
            <w:tcBorders>
              <w:top w:val="nil"/>
              <w:left w:val="single" w:sz="4" w:space="0" w:color="auto"/>
              <w:bottom w:val="single" w:sz="4" w:space="0" w:color="auto"/>
              <w:right w:val="single" w:sz="4" w:space="0" w:color="auto"/>
            </w:tcBorders>
            <w:shd w:val="clear" w:color="auto" w:fill="auto"/>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Average amount of federal loans</w:t>
            </w:r>
          </w:p>
        </w:tc>
        <w:tc>
          <w:tcPr>
            <w:tcW w:w="1385" w:type="dxa"/>
            <w:tcBorders>
              <w:top w:val="nil"/>
              <w:left w:val="nil"/>
              <w:bottom w:val="single" w:sz="4" w:space="0" w:color="auto"/>
              <w:right w:val="nil"/>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7,419 </w:t>
            </w:r>
          </w:p>
        </w:tc>
        <w:tc>
          <w:tcPr>
            <w:tcW w:w="1402" w:type="dxa"/>
            <w:tcBorders>
              <w:top w:val="nil"/>
              <w:left w:val="nil"/>
              <w:bottom w:val="single" w:sz="4" w:space="0" w:color="auto"/>
              <w:right w:val="single" w:sz="4" w:space="0" w:color="auto"/>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7,429 </w:t>
            </w:r>
          </w:p>
        </w:tc>
        <w:tc>
          <w:tcPr>
            <w:tcW w:w="1500" w:type="dxa"/>
            <w:tcBorders>
              <w:top w:val="nil"/>
              <w:left w:val="nil"/>
              <w:bottom w:val="single" w:sz="4" w:space="0" w:color="auto"/>
              <w:right w:val="nil"/>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6,907 </w:t>
            </w:r>
          </w:p>
        </w:tc>
        <w:tc>
          <w:tcPr>
            <w:tcW w:w="1414" w:type="dxa"/>
            <w:tcBorders>
              <w:top w:val="nil"/>
              <w:left w:val="nil"/>
              <w:bottom w:val="single" w:sz="4" w:space="0" w:color="auto"/>
              <w:right w:val="single" w:sz="4" w:space="0" w:color="auto"/>
            </w:tcBorders>
            <w:shd w:val="clear" w:color="auto" w:fill="auto"/>
            <w:noWrap/>
            <w:vAlign w:val="bottom"/>
            <w:hideMark/>
          </w:tcPr>
          <w:p w:rsidR="00784AB4" w:rsidRPr="00784AB4" w:rsidRDefault="00784AB4" w:rsidP="00784AB4">
            <w:pPr>
              <w:spacing w:after="0" w:line="240" w:lineRule="auto"/>
              <w:rPr>
                <w:rFonts w:ascii="Calibri" w:eastAsia="Times New Roman" w:hAnsi="Calibri" w:cs="Calibri"/>
                <w:color w:val="000000"/>
              </w:rPr>
            </w:pPr>
            <w:r w:rsidRPr="00784AB4">
              <w:rPr>
                <w:rFonts w:ascii="Calibri" w:eastAsia="Times New Roman" w:hAnsi="Calibri" w:cs="Calibri"/>
                <w:color w:val="000000"/>
              </w:rPr>
              <w:t xml:space="preserve"> $          7,191 </w:t>
            </w:r>
          </w:p>
        </w:tc>
      </w:tr>
    </w:tbl>
    <w:p w:rsidR="00DD513E" w:rsidRDefault="00DD513E" w:rsidP="00784AB4"/>
    <w:p w:rsidR="00184C6F" w:rsidRDefault="007C01A2" w:rsidP="007C01A2">
      <w:pPr>
        <w:pStyle w:val="ListParagraph"/>
        <w:numPr>
          <w:ilvl w:val="0"/>
          <w:numId w:val="2"/>
        </w:numPr>
      </w:pPr>
      <w:r>
        <w:t>TLU is less tuition dependent than our comparison group as shown by the percent of revenue attributable to tuition and fees in the table below.  Also note that TLU spends more per 12-month full time equivalent</w:t>
      </w:r>
      <w:r w:rsidR="00ED71F0">
        <w:t xml:space="preserve"> students on instruction and on institutional support.</w:t>
      </w:r>
    </w:p>
    <w:tbl>
      <w:tblPr>
        <w:tblW w:w="0" w:type="auto"/>
        <w:jc w:val="center"/>
        <w:tblLook w:val="04A0" w:firstRow="1" w:lastRow="0" w:firstColumn="1" w:lastColumn="0" w:noHBand="0" w:noVBand="1"/>
      </w:tblPr>
      <w:tblGrid>
        <w:gridCol w:w="3717"/>
        <w:gridCol w:w="1376"/>
        <w:gridCol w:w="1396"/>
        <w:gridCol w:w="1475"/>
        <w:gridCol w:w="1396"/>
      </w:tblGrid>
      <w:tr w:rsidR="00ED71F0" w:rsidRPr="00ED71F0" w:rsidTr="000B7A0C">
        <w:trPr>
          <w:trHeight w:val="340"/>
          <w:jc w:val="center"/>
        </w:trPr>
        <w:tc>
          <w:tcPr>
            <w:tcW w:w="0" w:type="auto"/>
            <w:gridSpan w:val="5"/>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sz w:val="24"/>
                <w:szCs w:val="24"/>
              </w:rPr>
            </w:pPr>
            <w:r w:rsidRPr="00ED71F0">
              <w:rPr>
                <w:rFonts w:ascii="Calibri" w:eastAsia="Times New Roman" w:hAnsi="Calibri" w:cs="Calibri"/>
                <w:b/>
                <w:bCs/>
                <w:color w:val="000000"/>
                <w:sz w:val="24"/>
                <w:szCs w:val="24"/>
              </w:rPr>
              <w:t>Revenues and Expenses</w:t>
            </w:r>
          </w:p>
        </w:tc>
      </w:tr>
      <w:tr w:rsidR="00ED71F0" w:rsidRPr="00ED71F0" w:rsidTr="000B7A0C">
        <w:trPr>
          <w:trHeight w:val="324"/>
          <w:jc w:val="center"/>
        </w:trPr>
        <w:tc>
          <w:tcPr>
            <w:tcW w:w="0" w:type="auto"/>
            <w:tcBorders>
              <w:top w:val="single" w:sz="4" w:space="0" w:color="auto"/>
              <w:left w:val="single" w:sz="4" w:space="0" w:color="auto"/>
              <w:bottom w:val="nil"/>
              <w:right w:val="single" w:sz="4" w:space="0" w:color="auto"/>
            </w:tcBorders>
            <w:shd w:val="clear" w:color="000000" w:fill="DDD9C4"/>
            <w:noWrap/>
            <w:vAlign w:val="bottom"/>
            <w:hideMark/>
          </w:tcPr>
          <w:p w:rsidR="00ED71F0" w:rsidRPr="00ED71F0" w:rsidRDefault="00ED71F0" w:rsidP="00ED71F0">
            <w:pPr>
              <w:spacing w:after="0" w:line="240" w:lineRule="auto"/>
              <w:rPr>
                <w:rFonts w:ascii="Calibri" w:eastAsia="Times New Roman" w:hAnsi="Calibri" w:cs="Calibri"/>
                <w:b/>
                <w:bCs/>
                <w:color w:val="000000"/>
              </w:rPr>
            </w:pPr>
            <w:r w:rsidRPr="00ED71F0">
              <w:rPr>
                <w:rFonts w:ascii="Calibri" w:eastAsia="Times New Roman" w:hAnsi="Calibri" w:cs="Calibri"/>
                <w:b/>
                <w:bCs/>
                <w:color w:val="000000"/>
              </w:rPr>
              <w:t> </w:t>
            </w:r>
          </w:p>
        </w:tc>
        <w:tc>
          <w:tcPr>
            <w:tcW w:w="0" w:type="auto"/>
            <w:gridSpan w:val="2"/>
            <w:tcBorders>
              <w:top w:val="single" w:sz="4" w:space="0" w:color="auto"/>
              <w:left w:val="nil"/>
              <w:bottom w:val="nil"/>
              <w:right w:val="single" w:sz="4" w:space="0" w:color="000000"/>
            </w:tcBorders>
            <w:shd w:val="clear" w:color="000000" w:fill="DDD9C4"/>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From 2015-2016 Report</w:t>
            </w:r>
          </w:p>
        </w:tc>
        <w:tc>
          <w:tcPr>
            <w:tcW w:w="0" w:type="auto"/>
            <w:gridSpan w:val="2"/>
            <w:tcBorders>
              <w:top w:val="single" w:sz="4" w:space="0" w:color="auto"/>
              <w:left w:val="nil"/>
              <w:bottom w:val="nil"/>
              <w:right w:val="single" w:sz="4" w:space="0" w:color="000000"/>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From 2016-2017 Report</w:t>
            </w:r>
          </w:p>
        </w:tc>
      </w:tr>
      <w:tr w:rsidR="00ED71F0" w:rsidRPr="00ED71F0" w:rsidTr="000B7A0C">
        <w:trPr>
          <w:trHeight w:val="649"/>
          <w:jc w:val="center"/>
        </w:trPr>
        <w:tc>
          <w:tcPr>
            <w:tcW w:w="0" w:type="auto"/>
            <w:tcBorders>
              <w:top w:val="nil"/>
              <w:left w:val="single" w:sz="4" w:space="0" w:color="auto"/>
              <w:bottom w:val="single" w:sz="4" w:space="0" w:color="auto"/>
              <w:right w:val="single" w:sz="4" w:space="0" w:color="auto"/>
            </w:tcBorders>
            <w:shd w:val="clear" w:color="000000" w:fill="DDD9C4"/>
            <w:noWrap/>
            <w:vAlign w:val="bottom"/>
            <w:hideMark/>
          </w:tcPr>
          <w:p w:rsidR="00ED71F0" w:rsidRPr="00ED71F0" w:rsidRDefault="00ED71F0" w:rsidP="00ED71F0">
            <w:pPr>
              <w:spacing w:after="0" w:line="240" w:lineRule="auto"/>
              <w:rPr>
                <w:rFonts w:ascii="Calibri" w:eastAsia="Times New Roman" w:hAnsi="Calibri" w:cs="Calibri"/>
                <w:b/>
                <w:bCs/>
                <w:color w:val="000000"/>
              </w:rPr>
            </w:pPr>
            <w:r w:rsidRPr="00ED71F0">
              <w:rPr>
                <w:rFonts w:ascii="Calibri" w:eastAsia="Times New Roman" w:hAnsi="Calibri" w:cs="Calibri"/>
                <w:b/>
                <w:bCs/>
                <w:color w:val="000000"/>
              </w:rPr>
              <w:t>Measures</w:t>
            </w:r>
          </w:p>
        </w:tc>
        <w:tc>
          <w:tcPr>
            <w:tcW w:w="0" w:type="auto"/>
            <w:tcBorders>
              <w:top w:val="nil"/>
              <w:left w:val="nil"/>
              <w:bottom w:val="single" w:sz="4" w:space="0" w:color="auto"/>
              <w:right w:val="nil"/>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TLU</w:t>
            </w:r>
          </w:p>
        </w:tc>
        <w:tc>
          <w:tcPr>
            <w:tcW w:w="0" w:type="auto"/>
            <w:tcBorders>
              <w:top w:val="nil"/>
              <w:left w:val="nil"/>
              <w:bottom w:val="single" w:sz="4" w:space="0" w:color="auto"/>
              <w:right w:val="single" w:sz="4" w:space="0" w:color="auto"/>
            </w:tcBorders>
            <w:shd w:val="clear" w:color="000000" w:fill="DDD9C4"/>
            <w:vAlign w:val="bottom"/>
            <w:hideMark/>
          </w:tcPr>
          <w:p w:rsidR="00ED71F0" w:rsidRPr="00ED71F0" w:rsidRDefault="00ED71F0" w:rsidP="00ED71F0">
            <w:pPr>
              <w:spacing w:after="0" w:line="240" w:lineRule="auto"/>
              <w:jc w:val="right"/>
              <w:rPr>
                <w:rFonts w:ascii="Calibri" w:eastAsia="Times New Roman" w:hAnsi="Calibri" w:cs="Calibri"/>
                <w:b/>
                <w:bCs/>
                <w:color w:val="000000"/>
              </w:rPr>
            </w:pPr>
            <w:r w:rsidRPr="00ED71F0">
              <w:rPr>
                <w:rFonts w:ascii="Calibri" w:eastAsia="Times New Roman" w:hAnsi="Calibri" w:cs="Calibri"/>
                <w:b/>
                <w:bCs/>
                <w:color w:val="000000"/>
              </w:rPr>
              <w:t>Comparison Grp Median</w:t>
            </w:r>
          </w:p>
        </w:tc>
        <w:tc>
          <w:tcPr>
            <w:tcW w:w="0" w:type="auto"/>
            <w:tcBorders>
              <w:top w:val="nil"/>
              <w:left w:val="nil"/>
              <w:bottom w:val="single" w:sz="4" w:space="0" w:color="auto"/>
              <w:right w:val="nil"/>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TLU</w:t>
            </w:r>
          </w:p>
        </w:tc>
        <w:tc>
          <w:tcPr>
            <w:tcW w:w="0" w:type="auto"/>
            <w:tcBorders>
              <w:top w:val="nil"/>
              <w:left w:val="nil"/>
              <w:bottom w:val="single" w:sz="4" w:space="0" w:color="auto"/>
              <w:right w:val="single" w:sz="4" w:space="0" w:color="auto"/>
            </w:tcBorders>
            <w:shd w:val="clear" w:color="000000" w:fill="DDD9C4"/>
            <w:vAlign w:val="bottom"/>
            <w:hideMark/>
          </w:tcPr>
          <w:p w:rsidR="00ED71F0" w:rsidRPr="00ED71F0" w:rsidRDefault="00ED71F0" w:rsidP="00ED71F0">
            <w:pPr>
              <w:spacing w:after="0" w:line="240" w:lineRule="auto"/>
              <w:jc w:val="right"/>
              <w:rPr>
                <w:rFonts w:ascii="Calibri" w:eastAsia="Times New Roman" w:hAnsi="Calibri" w:cs="Calibri"/>
                <w:b/>
                <w:bCs/>
                <w:color w:val="000000"/>
              </w:rPr>
            </w:pPr>
            <w:r w:rsidRPr="00ED71F0">
              <w:rPr>
                <w:rFonts w:ascii="Calibri" w:eastAsia="Times New Roman" w:hAnsi="Calibri" w:cs="Calibri"/>
                <w:b/>
                <w:bCs/>
                <w:color w:val="000000"/>
              </w:rPr>
              <w:t>Comparison Grp Median</w:t>
            </w:r>
          </w:p>
        </w:tc>
      </w:tr>
      <w:tr w:rsidR="00ED71F0" w:rsidRPr="00ED71F0" w:rsidTr="000B7A0C">
        <w:trPr>
          <w:trHeight w:val="324"/>
          <w:jc w:val="center"/>
        </w:trPr>
        <w:tc>
          <w:tcPr>
            <w:tcW w:w="0" w:type="auto"/>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Revenue from Tuition &amp; Fees</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34%</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68%</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62%</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76%</w:t>
            </w:r>
          </w:p>
        </w:tc>
      </w:tr>
      <w:tr w:rsidR="00ED71F0" w:rsidRPr="00ED71F0" w:rsidTr="000B7A0C">
        <w:trPr>
          <w:trHeight w:val="324"/>
          <w:jc w:val="center"/>
        </w:trPr>
        <w:tc>
          <w:tcPr>
            <w:tcW w:w="0" w:type="auto"/>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Revenue from Investment Return</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43%</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-9%</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-4%</w:t>
            </w:r>
          </w:p>
        </w:tc>
      </w:tr>
      <w:tr w:rsidR="00ED71F0" w:rsidRPr="00ED71F0" w:rsidTr="000B7A0C">
        <w:trPr>
          <w:trHeight w:val="324"/>
          <w:jc w:val="center"/>
        </w:trPr>
        <w:tc>
          <w:tcPr>
            <w:tcW w:w="0" w:type="auto"/>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Instruction Expense per 12-month FTE</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9,467 </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8,565 </w:t>
            </w:r>
          </w:p>
        </w:tc>
        <w:tc>
          <w:tcPr>
            <w:tcW w:w="0" w:type="auto"/>
            <w:tcBorders>
              <w:top w:val="nil"/>
              <w:left w:val="nil"/>
              <w:bottom w:val="nil"/>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9,311 </w:t>
            </w:r>
          </w:p>
        </w:tc>
        <w:tc>
          <w:tcPr>
            <w:tcW w:w="0" w:type="auto"/>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8,903 </w:t>
            </w:r>
          </w:p>
        </w:tc>
      </w:tr>
      <w:tr w:rsidR="00ED71F0" w:rsidRPr="00ED71F0" w:rsidTr="000B7A0C">
        <w:trPr>
          <w:trHeight w:val="32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Institutional Support per 12-month FTE</w:t>
            </w:r>
          </w:p>
        </w:tc>
        <w:tc>
          <w:tcPr>
            <w:tcW w:w="0" w:type="auto"/>
            <w:tcBorders>
              <w:top w:val="nil"/>
              <w:left w:val="nil"/>
              <w:bottom w:val="single" w:sz="4" w:space="0" w:color="auto"/>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8,505 </w:t>
            </w:r>
          </w:p>
        </w:tc>
        <w:tc>
          <w:tcPr>
            <w:tcW w:w="0" w:type="auto"/>
            <w:tcBorders>
              <w:top w:val="nil"/>
              <w:left w:val="nil"/>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4,598 </w:t>
            </w:r>
          </w:p>
        </w:tc>
        <w:tc>
          <w:tcPr>
            <w:tcW w:w="0" w:type="auto"/>
            <w:tcBorders>
              <w:top w:val="nil"/>
              <w:left w:val="nil"/>
              <w:bottom w:val="single" w:sz="4" w:space="0" w:color="auto"/>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7,928 </w:t>
            </w:r>
          </w:p>
        </w:tc>
        <w:tc>
          <w:tcPr>
            <w:tcW w:w="0" w:type="auto"/>
            <w:tcBorders>
              <w:top w:val="nil"/>
              <w:left w:val="nil"/>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4,859 </w:t>
            </w:r>
          </w:p>
        </w:tc>
      </w:tr>
    </w:tbl>
    <w:p w:rsidR="00ED71F0" w:rsidRDefault="00ED71F0" w:rsidP="00ED71F0">
      <w:bookmarkStart w:id="0" w:name="_GoBack"/>
      <w:bookmarkEnd w:id="0"/>
    </w:p>
    <w:p w:rsidR="00F26FB8" w:rsidRDefault="00ED71F0" w:rsidP="00ED71F0">
      <w:pPr>
        <w:pStyle w:val="ListParagraph"/>
        <w:numPr>
          <w:ilvl w:val="0"/>
          <w:numId w:val="2"/>
        </w:numPr>
      </w:pPr>
      <w:r>
        <w:lastRenderedPageBreak/>
        <w:t xml:space="preserve">In the table below, we see that TLU’s average salary for all full time faculty is higher than the median for the comparison group.  This is true for all faculty ranks.  See figure 22 in the Feedback report for those details.  The percent of faculty to total full time employees is very similar to that of the comparison group as is the percent of full time non-teaching staff to total employees.  These metrics indicate that TLU is not over or under staffed relative to the comparison group.  </w:t>
      </w:r>
    </w:p>
    <w:tbl>
      <w:tblPr>
        <w:tblW w:w="5000" w:type="pct"/>
        <w:jc w:val="center"/>
        <w:tblLook w:val="04A0" w:firstRow="1" w:lastRow="0" w:firstColumn="1" w:lastColumn="0" w:noHBand="0" w:noVBand="1"/>
      </w:tblPr>
      <w:tblGrid>
        <w:gridCol w:w="3602"/>
        <w:gridCol w:w="1402"/>
        <w:gridCol w:w="1413"/>
        <w:gridCol w:w="1518"/>
        <w:gridCol w:w="1425"/>
      </w:tblGrid>
      <w:tr w:rsidR="00ED71F0" w:rsidRPr="00ED71F0" w:rsidTr="00A179C9">
        <w:trPr>
          <w:trHeight w:val="315"/>
          <w:jc w:val="center"/>
        </w:trPr>
        <w:tc>
          <w:tcPr>
            <w:tcW w:w="5000" w:type="pct"/>
            <w:gridSpan w:val="5"/>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sz w:val="24"/>
                <w:szCs w:val="24"/>
              </w:rPr>
            </w:pPr>
            <w:r w:rsidRPr="00ED71F0">
              <w:rPr>
                <w:rFonts w:ascii="Calibri" w:eastAsia="Times New Roman" w:hAnsi="Calibri" w:cs="Calibri"/>
                <w:b/>
                <w:bCs/>
                <w:color w:val="000000"/>
                <w:sz w:val="24"/>
                <w:szCs w:val="24"/>
              </w:rPr>
              <w:t>Human Resources</w:t>
            </w:r>
          </w:p>
        </w:tc>
      </w:tr>
      <w:tr w:rsidR="00ED71F0" w:rsidRPr="00ED71F0" w:rsidTr="00A179C9">
        <w:trPr>
          <w:trHeight w:val="300"/>
          <w:jc w:val="center"/>
        </w:trPr>
        <w:tc>
          <w:tcPr>
            <w:tcW w:w="1924" w:type="pct"/>
            <w:tcBorders>
              <w:top w:val="single" w:sz="4" w:space="0" w:color="auto"/>
              <w:left w:val="single" w:sz="4" w:space="0" w:color="auto"/>
              <w:bottom w:val="nil"/>
              <w:right w:val="single" w:sz="4" w:space="0" w:color="auto"/>
            </w:tcBorders>
            <w:shd w:val="clear" w:color="000000" w:fill="DDD9C4"/>
            <w:noWrap/>
            <w:vAlign w:val="bottom"/>
            <w:hideMark/>
          </w:tcPr>
          <w:p w:rsidR="00ED71F0" w:rsidRPr="00ED71F0" w:rsidRDefault="00ED71F0" w:rsidP="00ED71F0">
            <w:pPr>
              <w:spacing w:after="0" w:line="240" w:lineRule="auto"/>
              <w:rPr>
                <w:rFonts w:ascii="Calibri" w:eastAsia="Times New Roman" w:hAnsi="Calibri" w:cs="Calibri"/>
                <w:b/>
                <w:bCs/>
                <w:color w:val="000000"/>
              </w:rPr>
            </w:pPr>
            <w:r w:rsidRPr="00ED71F0">
              <w:rPr>
                <w:rFonts w:ascii="Calibri" w:eastAsia="Times New Roman" w:hAnsi="Calibri" w:cs="Calibri"/>
                <w:b/>
                <w:bCs/>
                <w:color w:val="000000"/>
              </w:rPr>
              <w:t> </w:t>
            </w:r>
          </w:p>
        </w:tc>
        <w:tc>
          <w:tcPr>
            <w:tcW w:w="1503" w:type="pct"/>
            <w:gridSpan w:val="2"/>
            <w:tcBorders>
              <w:top w:val="single" w:sz="4" w:space="0" w:color="auto"/>
              <w:left w:val="nil"/>
              <w:bottom w:val="nil"/>
              <w:right w:val="single" w:sz="4" w:space="0" w:color="000000"/>
            </w:tcBorders>
            <w:shd w:val="clear" w:color="000000" w:fill="DDD9C4"/>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From 2015-2016 Report</w:t>
            </w:r>
          </w:p>
        </w:tc>
        <w:tc>
          <w:tcPr>
            <w:tcW w:w="1572" w:type="pct"/>
            <w:gridSpan w:val="2"/>
            <w:tcBorders>
              <w:top w:val="single" w:sz="4" w:space="0" w:color="auto"/>
              <w:left w:val="nil"/>
              <w:bottom w:val="nil"/>
              <w:right w:val="single" w:sz="4" w:space="0" w:color="000000"/>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From 2016-2017 Report</w:t>
            </w:r>
          </w:p>
        </w:tc>
      </w:tr>
      <w:tr w:rsidR="00ED71F0" w:rsidRPr="00ED71F0" w:rsidTr="00A179C9">
        <w:trPr>
          <w:trHeight w:val="600"/>
          <w:jc w:val="center"/>
        </w:trPr>
        <w:tc>
          <w:tcPr>
            <w:tcW w:w="1924" w:type="pct"/>
            <w:tcBorders>
              <w:top w:val="nil"/>
              <w:left w:val="single" w:sz="4" w:space="0" w:color="auto"/>
              <w:bottom w:val="single" w:sz="4" w:space="0" w:color="auto"/>
              <w:right w:val="single" w:sz="4" w:space="0" w:color="auto"/>
            </w:tcBorders>
            <w:shd w:val="clear" w:color="000000" w:fill="DDD9C4"/>
            <w:noWrap/>
            <w:vAlign w:val="bottom"/>
            <w:hideMark/>
          </w:tcPr>
          <w:p w:rsidR="00ED71F0" w:rsidRPr="00ED71F0" w:rsidRDefault="00ED71F0" w:rsidP="00ED71F0">
            <w:pPr>
              <w:spacing w:after="0" w:line="240" w:lineRule="auto"/>
              <w:rPr>
                <w:rFonts w:ascii="Calibri" w:eastAsia="Times New Roman" w:hAnsi="Calibri" w:cs="Calibri"/>
                <w:b/>
                <w:bCs/>
                <w:color w:val="000000"/>
              </w:rPr>
            </w:pPr>
            <w:r w:rsidRPr="00ED71F0">
              <w:rPr>
                <w:rFonts w:ascii="Calibri" w:eastAsia="Times New Roman" w:hAnsi="Calibri" w:cs="Calibri"/>
                <w:b/>
                <w:bCs/>
                <w:color w:val="000000"/>
              </w:rPr>
              <w:t>Measures</w:t>
            </w:r>
          </w:p>
        </w:tc>
        <w:tc>
          <w:tcPr>
            <w:tcW w:w="749" w:type="pct"/>
            <w:tcBorders>
              <w:top w:val="nil"/>
              <w:left w:val="nil"/>
              <w:bottom w:val="single" w:sz="4" w:space="0" w:color="auto"/>
              <w:right w:val="nil"/>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TLU</w:t>
            </w:r>
          </w:p>
        </w:tc>
        <w:tc>
          <w:tcPr>
            <w:tcW w:w="755" w:type="pct"/>
            <w:tcBorders>
              <w:top w:val="nil"/>
              <w:left w:val="nil"/>
              <w:bottom w:val="single" w:sz="4" w:space="0" w:color="auto"/>
              <w:right w:val="single" w:sz="4" w:space="0" w:color="auto"/>
            </w:tcBorders>
            <w:shd w:val="clear" w:color="000000" w:fill="DDD9C4"/>
            <w:vAlign w:val="bottom"/>
            <w:hideMark/>
          </w:tcPr>
          <w:p w:rsidR="00ED71F0" w:rsidRPr="00ED71F0" w:rsidRDefault="00ED71F0" w:rsidP="00ED71F0">
            <w:pPr>
              <w:spacing w:after="0" w:line="240" w:lineRule="auto"/>
              <w:jc w:val="right"/>
              <w:rPr>
                <w:rFonts w:ascii="Calibri" w:eastAsia="Times New Roman" w:hAnsi="Calibri" w:cs="Calibri"/>
                <w:b/>
                <w:bCs/>
                <w:color w:val="000000"/>
              </w:rPr>
            </w:pPr>
            <w:r w:rsidRPr="00ED71F0">
              <w:rPr>
                <w:rFonts w:ascii="Calibri" w:eastAsia="Times New Roman" w:hAnsi="Calibri" w:cs="Calibri"/>
                <w:b/>
                <w:bCs/>
                <w:color w:val="000000"/>
              </w:rPr>
              <w:t>Comparison Grp Median</w:t>
            </w:r>
          </w:p>
        </w:tc>
        <w:tc>
          <w:tcPr>
            <w:tcW w:w="811" w:type="pct"/>
            <w:tcBorders>
              <w:top w:val="nil"/>
              <w:left w:val="nil"/>
              <w:bottom w:val="single" w:sz="4" w:space="0" w:color="auto"/>
              <w:right w:val="nil"/>
            </w:tcBorders>
            <w:shd w:val="clear" w:color="000000" w:fill="DDD9C4"/>
            <w:noWrap/>
            <w:vAlign w:val="bottom"/>
            <w:hideMark/>
          </w:tcPr>
          <w:p w:rsidR="00ED71F0" w:rsidRPr="00ED71F0" w:rsidRDefault="00ED71F0" w:rsidP="00ED71F0">
            <w:pPr>
              <w:spacing w:after="0" w:line="240" w:lineRule="auto"/>
              <w:jc w:val="center"/>
              <w:rPr>
                <w:rFonts w:ascii="Calibri" w:eastAsia="Times New Roman" w:hAnsi="Calibri" w:cs="Calibri"/>
                <w:b/>
                <w:bCs/>
                <w:color w:val="000000"/>
              </w:rPr>
            </w:pPr>
            <w:r w:rsidRPr="00ED71F0">
              <w:rPr>
                <w:rFonts w:ascii="Calibri" w:eastAsia="Times New Roman" w:hAnsi="Calibri" w:cs="Calibri"/>
                <w:b/>
                <w:bCs/>
                <w:color w:val="000000"/>
              </w:rPr>
              <w:t>TLU</w:t>
            </w:r>
          </w:p>
        </w:tc>
        <w:tc>
          <w:tcPr>
            <w:tcW w:w="761" w:type="pct"/>
            <w:tcBorders>
              <w:top w:val="nil"/>
              <w:left w:val="nil"/>
              <w:bottom w:val="single" w:sz="4" w:space="0" w:color="auto"/>
              <w:right w:val="single" w:sz="4" w:space="0" w:color="auto"/>
            </w:tcBorders>
            <w:shd w:val="clear" w:color="000000" w:fill="DDD9C4"/>
            <w:vAlign w:val="bottom"/>
            <w:hideMark/>
          </w:tcPr>
          <w:p w:rsidR="00ED71F0" w:rsidRPr="00ED71F0" w:rsidRDefault="00ED71F0" w:rsidP="00ED71F0">
            <w:pPr>
              <w:spacing w:after="0" w:line="240" w:lineRule="auto"/>
              <w:jc w:val="right"/>
              <w:rPr>
                <w:rFonts w:ascii="Calibri" w:eastAsia="Times New Roman" w:hAnsi="Calibri" w:cs="Calibri"/>
                <w:b/>
                <w:bCs/>
                <w:color w:val="000000"/>
              </w:rPr>
            </w:pPr>
            <w:r w:rsidRPr="00ED71F0">
              <w:rPr>
                <w:rFonts w:ascii="Calibri" w:eastAsia="Times New Roman" w:hAnsi="Calibri" w:cs="Calibri"/>
                <w:b/>
                <w:bCs/>
                <w:color w:val="000000"/>
              </w:rPr>
              <w:t>Comparison Grp Median</w:t>
            </w:r>
          </w:p>
        </w:tc>
      </w:tr>
      <w:tr w:rsidR="00ED71F0" w:rsidRPr="00ED71F0" w:rsidTr="00A179C9">
        <w:trPr>
          <w:trHeight w:val="300"/>
          <w:jc w:val="center"/>
        </w:trPr>
        <w:tc>
          <w:tcPr>
            <w:tcW w:w="1924" w:type="pct"/>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Full time Faculty</w:t>
            </w:r>
          </w:p>
        </w:tc>
        <w:tc>
          <w:tcPr>
            <w:tcW w:w="749"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96</w:t>
            </w:r>
          </w:p>
        </w:tc>
        <w:tc>
          <w:tcPr>
            <w:tcW w:w="755"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121</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96</w:t>
            </w:r>
          </w:p>
        </w:tc>
        <w:tc>
          <w:tcPr>
            <w:tcW w:w="761"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117</w:t>
            </w:r>
          </w:p>
        </w:tc>
      </w:tr>
      <w:tr w:rsidR="00ED71F0" w:rsidRPr="00ED71F0" w:rsidTr="00A179C9">
        <w:trPr>
          <w:trHeight w:val="300"/>
          <w:jc w:val="center"/>
        </w:trPr>
        <w:tc>
          <w:tcPr>
            <w:tcW w:w="1924" w:type="pct"/>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All Full time non-teaching staff</w:t>
            </w:r>
          </w:p>
        </w:tc>
        <w:tc>
          <w:tcPr>
            <w:tcW w:w="749"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151</w:t>
            </w:r>
          </w:p>
        </w:tc>
        <w:tc>
          <w:tcPr>
            <w:tcW w:w="755"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197</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155</w:t>
            </w:r>
          </w:p>
        </w:tc>
        <w:tc>
          <w:tcPr>
            <w:tcW w:w="761"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201</w:t>
            </w:r>
          </w:p>
        </w:tc>
      </w:tr>
      <w:tr w:rsidR="00ED71F0" w:rsidRPr="00ED71F0" w:rsidTr="00A179C9">
        <w:trPr>
          <w:trHeight w:val="300"/>
          <w:jc w:val="center"/>
        </w:trPr>
        <w:tc>
          <w:tcPr>
            <w:tcW w:w="1924" w:type="pct"/>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Total </w:t>
            </w:r>
          </w:p>
        </w:tc>
        <w:tc>
          <w:tcPr>
            <w:tcW w:w="749"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247</w:t>
            </w:r>
          </w:p>
        </w:tc>
        <w:tc>
          <w:tcPr>
            <w:tcW w:w="755"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318</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251</w:t>
            </w:r>
          </w:p>
        </w:tc>
        <w:tc>
          <w:tcPr>
            <w:tcW w:w="761"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318</w:t>
            </w:r>
          </w:p>
        </w:tc>
      </w:tr>
      <w:tr w:rsidR="00ED71F0" w:rsidRPr="00ED71F0" w:rsidTr="00A179C9">
        <w:trPr>
          <w:trHeight w:val="300"/>
          <w:jc w:val="center"/>
        </w:trPr>
        <w:tc>
          <w:tcPr>
            <w:tcW w:w="1924" w:type="pct"/>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Faculty</w:t>
            </w:r>
          </w:p>
        </w:tc>
        <w:tc>
          <w:tcPr>
            <w:tcW w:w="749"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39%</w:t>
            </w:r>
          </w:p>
        </w:tc>
        <w:tc>
          <w:tcPr>
            <w:tcW w:w="755"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38%</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38%</w:t>
            </w:r>
          </w:p>
        </w:tc>
        <w:tc>
          <w:tcPr>
            <w:tcW w:w="761"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37%</w:t>
            </w:r>
          </w:p>
        </w:tc>
      </w:tr>
      <w:tr w:rsidR="00ED71F0" w:rsidRPr="00ED71F0" w:rsidTr="00A179C9">
        <w:trPr>
          <w:trHeight w:val="300"/>
          <w:jc w:val="center"/>
        </w:trPr>
        <w:tc>
          <w:tcPr>
            <w:tcW w:w="1924" w:type="pct"/>
            <w:tcBorders>
              <w:top w:val="nil"/>
              <w:left w:val="single" w:sz="4" w:space="0" w:color="auto"/>
              <w:bottom w:val="nil"/>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Staff</w:t>
            </w:r>
          </w:p>
        </w:tc>
        <w:tc>
          <w:tcPr>
            <w:tcW w:w="749"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61%</w:t>
            </w:r>
          </w:p>
        </w:tc>
        <w:tc>
          <w:tcPr>
            <w:tcW w:w="755"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62%</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62%</w:t>
            </w:r>
          </w:p>
        </w:tc>
        <w:tc>
          <w:tcPr>
            <w:tcW w:w="761" w:type="pct"/>
            <w:tcBorders>
              <w:top w:val="nil"/>
              <w:left w:val="nil"/>
              <w:bottom w:val="nil"/>
              <w:right w:val="single" w:sz="4" w:space="0" w:color="auto"/>
            </w:tcBorders>
            <w:shd w:val="clear" w:color="auto" w:fill="auto"/>
            <w:noWrap/>
            <w:vAlign w:val="bottom"/>
            <w:hideMark/>
          </w:tcPr>
          <w:p w:rsidR="00ED71F0" w:rsidRPr="00ED71F0" w:rsidRDefault="00ED71F0" w:rsidP="00ED71F0">
            <w:pPr>
              <w:spacing w:after="0" w:line="240" w:lineRule="auto"/>
              <w:jc w:val="right"/>
              <w:rPr>
                <w:rFonts w:ascii="Calibri" w:eastAsia="Times New Roman" w:hAnsi="Calibri" w:cs="Calibri"/>
                <w:color w:val="000000"/>
              </w:rPr>
            </w:pPr>
            <w:r w:rsidRPr="00ED71F0">
              <w:rPr>
                <w:rFonts w:ascii="Calibri" w:eastAsia="Times New Roman" w:hAnsi="Calibri" w:cs="Calibri"/>
                <w:color w:val="000000"/>
              </w:rPr>
              <w:t>63%</w:t>
            </w:r>
          </w:p>
        </w:tc>
      </w:tr>
      <w:tr w:rsidR="00ED71F0" w:rsidRPr="00ED71F0" w:rsidTr="00A179C9">
        <w:trPr>
          <w:trHeight w:val="300"/>
          <w:jc w:val="center"/>
        </w:trPr>
        <w:tc>
          <w:tcPr>
            <w:tcW w:w="1924" w:type="pct"/>
            <w:tcBorders>
              <w:top w:val="nil"/>
              <w:left w:val="single" w:sz="4" w:space="0" w:color="auto"/>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Average Salary all Full time faculty</w:t>
            </w:r>
          </w:p>
        </w:tc>
        <w:tc>
          <w:tcPr>
            <w:tcW w:w="749" w:type="pct"/>
            <w:tcBorders>
              <w:top w:val="nil"/>
              <w:left w:val="nil"/>
              <w:bottom w:val="single" w:sz="4" w:space="0" w:color="auto"/>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62,649 </w:t>
            </w:r>
          </w:p>
        </w:tc>
        <w:tc>
          <w:tcPr>
            <w:tcW w:w="755" w:type="pct"/>
            <w:tcBorders>
              <w:top w:val="nil"/>
              <w:left w:val="nil"/>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58,356 </w:t>
            </w:r>
          </w:p>
        </w:tc>
        <w:tc>
          <w:tcPr>
            <w:tcW w:w="811" w:type="pct"/>
            <w:tcBorders>
              <w:top w:val="nil"/>
              <w:left w:val="nil"/>
              <w:bottom w:val="single" w:sz="4" w:space="0" w:color="auto"/>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63,633 </w:t>
            </w:r>
          </w:p>
        </w:tc>
        <w:tc>
          <w:tcPr>
            <w:tcW w:w="761" w:type="pct"/>
            <w:tcBorders>
              <w:top w:val="nil"/>
              <w:left w:val="nil"/>
              <w:bottom w:val="single" w:sz="4" w:space="0" w:color="auto"/>
              <w:right w:val="single" w:sz="4" w:space="0" w:color="auto"/>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 xml:space="preserve"> $        59,136 </w:t>
            </w:r>
          </w:p>
        </w:tc>
      </w:tr>
      <w:tr w:rsidR="00ED71F0" w:rsidRPr="00ED71F0" w:rsidTr="00A179C9">
        <w:trPr>
          <w:trHeight w:val="300"/>
          <w:jc w:val="center"/>
        </w:trPr>
        <w:tc>
          <w:tcPr>
            <w:tcW w:w="3428" w:type="pct"/>
            <w:gridSpan w:val="3"/>
            <w:tcBorders>
              <w:top w:val="nil"/>
              <w:left w:val="nil"/>
              <w:bottom w:val="nil"/>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r w:rsidRPr="00ED71F0">
              <w:rPr>
                <w:rFonts w:ascii="Calibri" w:eastAsia="Times New Roman" w:hAnsi="Calibri" w:cs="Calibri"/>
                <w:color w:val="000000"/>
              </w:rPr>
              <w:t>Note:  TLU has higher average salaries for all faculty ranks</w:t>
            </w:r>
          </w:p>
        </w:tc>
        <w:tc>
          <w:tcPr>
            <w:tcW w:w="81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rPr>
                <w:rFonts w:ascii="Calibri" w:eastAsia="Times New Roman" w:hAnsi="Calibri" w:cs="Calibri"/>
                <w:color w:val="000000"/>
              </w:rPr>
            </w:pPr>
          </w:p>
        </w:tc>
        <w:tc>
          <w:tcPr>
            <w:tcW w:w="761" w:type="pct"/>
            <w:tcBorders>
              <w:top w:val="nil"/>
              <w:left w:val="nil"/>
              <w:bottom w:val="nil"/>
              <w:right w:val="nil"/>
            </w:tcBorders>
            <w:shd w:val="clear" w:color="auto" w:fill="auto"/>
            <w:noWrap/>
            <w:vAlign w:val="bottom"/>
            <w:hideMark/>
          </w:tcPr>
          <w:p w:rsidR="00ED71F0" w:rsidRPr="00ED71F0" w:rsidRDefault="00ED71F0" w:rsidP="00ED71F0">
            <w:pPr>
              <w:spacing w:after="0" w:line="240" w:lineRule="auto"/>
              <w:rPr>
                <w:rFonts w:ascii="Times New Roman" w:eastAsia="Times New Roman" w:hAnsi="Times New Roman" w:cs="Times New Roman"/>
                <w:sz w:val="20"/>
                <w:szCs w:val="20"/>
              </w:rPr>
            </w:pPr>
          </w:p>
        </w:tc>
      </w:tr>
    </w:tbl>
    <w:p w:rsidR="00ED71F0" w:rsidRDefault="00ED71F0" w:rsidP="00ED71F0"/>
    <w:p w:rsidR="00EC1CFA" w:rsidRDefault="00767ED7" w:rsidP="00767ED7">
      <w:pPr>
        <w:pStyle w:val="ListParagraph"/>
        <w:numPr>
          <w:ilvl w:val="0"/>
          <w:numId w:val="2"/>
        </w:numPr>
      </w:pPr>
      <w:r>
        <w:t xml:space="preserve">Student outcomes of fall to fall freshmen retention and graduation rates are two of TLU’s important challenges.  When compared to the median measures of the comparison group we see that TLU’s rates for these outcomes are noticeably lower.  </w:t>
      </w:r>
      <w:r w:rsidR="00434A25">
        <w:t>In looking at the disaggregated 6-year graduation rates by ethnicity, TLU’s rates for Black/African American students fell substantially from the 2009 cohort to the 2010 cohort.  Please see figures 12-18 in the Feedback report for more details.</w:t>
      </w:r>
    </w:p>
    <w:tbl>
      <w:tblPr>
        <w:tblW w:w="8700" w:type="dxa"/>
        <w:jc w:val="center"/>
        <w:tblLook w:val="04A0" w:firstRow="1" w:lastRow="0" w:firstColumn="1" w:lastColumn="0" w:noHBand="0" w:noVBand="1"/>
      </w:tblPr>
      <w:tblGrid>
        <w:gridCol w:w="3795"/>
        <w:gridCol w:w="634"/>
        <w:gridCol w:w="1811"/>
        <w:gridCol w:w="634"/>
        <w:gridCol w:w="1826"/>
      </w:tblGrid>
      <w:tr w:rsidR="00434A25" w:rsidRPr="00434A25" w:rsidTr="00434A25">
        <w:trPr>
          <w:trHeight w:val="315"/>
          <w:jc w:val="center"/>
        </w:trPr>
        <w:tc>
          <w:tcPr>
            <w:tcW w:w="8700" w:type="dxa"/>
            <w:gridSpan w:val="5"/>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center"/>
              <w:rPr>
                <w:rFonts w:ascii="Calibri" w:eastAsia="Times New Roman" w:hAnsi="Calibri" w:cs="Calibri"/>
                <w:b/>
                <w:bCs/>
                <w:color w:val="000000"/>
                <w:sz w:val="24"/>
                <w:szCs w:val="24"/>
              </w:rPr>
            </w:pPr>
            <w:r w:rsidRPr="00434A25">
              <w:rPr>
                <w:rFonts w:ascii="Calibri" w:eastAsia="Times New Roman" w:hAnsi="Calibri" w:cs="Calibri"/>
                <w:b/>
                <w:bCs/>
                <w:color w:val="000000"/>
                <w:sz w:val="24"/>
                <w:szCs w:val="24"/>
              </w:rPr>
              <w:t>Student Outcomes</w:t>
            </w:r>
          </w:p>
        </w:tc>
      </w:tr>
      <w:tr w:rsidR="00434A25" w:rsidRPr="00434A25" w:rsidTr="00434A25">
        <w:trPr>
          <w:trHeight w:val="300"/>
          <w:jc w:val="center"/>
        </w:trPr>
        <w:tc>
          <w:tcPr>
            <w:tcW w:w="3795" w:type="dxa"/>
            <w:tcBorders>
              <w:top w:val="single" w:sz="4" w:space="0" w:color="auto"/>
              <w:left w:val="single" w:sz="4" w:space="0" w:color="auto"/>
              <w:bottom w:val="nil"/>
              <w:right w:val="single" w:sz="4" w:space="0" w:color="auto"/>
            </w:tcBorders>
            <w:shd w:val="clear" w:color="000000" w:fill="DDD9C4"/>
            <w:noWrap/>
            <w:vAlign w:val="bottom"/>
            <w:hideMark/>
          </w:tcPr>
          <w:p w:rsidR="00434A25" w:rsidRPr="00434A25" w:rsidRDefault="00434A25" w:rsidP="00434A25">
            <w:pPr>
              <w:spacing w:after="0" w:line="240" w:lineRule="auto"/>
              <w:rPr>
                <w:rFonts w:ascii="Calibri" w:eastAsia="Times New Roman" w:hAnsi="Calibri" w:cs="Calibri"/>
                <w:b/>
                <w:bCs/>
                <w:color w:val="000000"/>
              </w:rPr>
            </w:pPr>
            <w:r w:rsidRPr="00434A25">
              <w:rPr>
                <w:rFonts w:ascii="Calibri" w:eastAsia="Times New Roman" w:hAnsi="Calibri" w:cs="Calibri"/>
                <w:b/>
                <w:bCs/>
                <w:color w:val="000000"/>
              </w:rPr>
              <w:t> </w:t>
            </w:r>
          </w:p>
        </w:tc>
        <w:tc>
          <w:tcPr>
            <w:tcW w:w="2445" w:type="dxa"/>
            <w:gridSpan w:val="2"/>
            <w:tcBorders>
              <w:top w:val="single" w:sz="4" w:space="0" w:color="auto"/>
              <w:left w:val="nil"/>
              <w:bottom w:val="nil"/>
              <w:right w:val="nil"/>
            </w:tcBorders>
            <w:shd w:val="clear" w:color="000000" w:fill="DDD9C4"/>
            <w:vAlign w:val="bottom"/>
            <w:hideMark/>
          </w:tcPr>
          <w:p w:rsidR="00434A25" w:rsidRPr="00434A25" w:rsidRDefault="00434A25" w:rsidP="00434A25">
            <w:pPr>
              <w:spacing w:after="0" w:line="240" w:lineRule="auto"/>
              <w:jc w:val="center"/>
              <w:rPr>
                <w:rFonts w:ascii="Calibri" w:eastAsia="Times New Roman" w:hAnsi="Calibri" w:cs="Calibri"/>
                <w:b/>
                <w:bCs/>
                <w:color w:val="000000"/>
              </w:rPr>
            </w:pPr>
            <w:r w:rsidRPr="00434A25">
              <w:rPr>
                <w:rFonts w:ascii="Calibri" w:eastAsia="Times New Roman" w:hAnsi="Calibri" w:cs="Calibri"/>
                <w:b/>
                <w:bCs/>
                <w:color w:val="000000"/>
              </w:rPr>
              <w:t>From 2015-2016 Report</w:t>
            </w:r>
          </w:p>
        </w:tc>
        <w:tc>
          <w:tcPr>
            <w:tcW w:w="2460" w:type="dxa"/>
            <w:gridSpan w:val="2"/>
            <w:tcBorders>
              <w:top w:val="single" w:sz="4" w:space="0" w:color="auto"/>
              <w:left w:val="single" w:sz="4" w:space="0" w:color="auto"/>
              <w:bottom w:val="nil"/>
              <w:right w:val="single" w:sz="4" w:space="0" w:color="000000"/>
            </w:tcBorders>
            <w:shd w:val="clear" w:color="000000" w:fill="DDD9C4"/>
            <w:noWrap/>
            <w:vAlign w:val="bottom"/>
            <w:hideMark/>
          </w:tcPr>
          <w:p w:rsidR="00434A25" w:rsidRPr="00434A25" w:rsidRDefault="00434A25" w:rsidP="00434A25">
            <w:pPr>
              <w:spacing w:after="0" w:line="240" w:lineRule="auto"/>
              <w:jc w:val="center"/>
              <w:rPr>
                <w:rFonts w:ascii="Calibri" w:eastAsia="Times New Roman" w:hAnsi="Calibri" w:cs="Calibri"/>
                <w:b/>
                <w:bCs/>
                <w:color w:val="000000"/>
              </w:rPr>
            </w:pPr>
            <w:r w:rsidRPr="00434A25">
              <w:rPr>
                <w:rFonts w:ascii="Calibri" w:eastAsia="Times New Roman" w:hAnsi="Calibri" w:cs="Calibri"/>
                <w:b/>
                <w:bCs/>
                <w:color w:val="000000"/>
              </w:rPr>
              <w:t>From 2016-2017 Report</w:t>
            </w:r>
          </w:p>
        </w:tc>
      </w:tr>
      <w:tr w:rsidR="00434A25" w:rsidRPr="00434A25" w:rsidTr="00434A25">
        <w:trPr>
          <w:trHeight w:val="600"/>
          <w:jc w:val="center"/>
        </w:trPr>
        <w:tc>
          <w:tcPr>
            <w:tcW w:w="3795" w:type="dxa"/>
            <w:tcBorders>
              <w:top w:val="nil"/>
              <w:left w:val="single" w:sz="4" w:space="0" w:color="auto"/>
              <w:bottom w:val="single" w:sz="4" w:space="0" w:color="auto"/>
              <w:right w:val="single" w:sz="4" w:space="0" w:color="auto"/>
            </w:tcBorders>
            <w:shd w:val="clear" w:color="000000" w:fill="DDD9C4"/>
            <w:noWrap/>
            <w:vAlign w:val="bottom"/>
            <w:hideMark/>
          </w:tcPr>
          <w:p w:rsidR="00434A25" w:rsidRPr="00434A25" w:rsidRDefault="00434A25" w:rsidP="00434A25">
            <w:pPr>
              <w:spacing w:after="0" w:line="240" w:lineRule="auto"/>
              <w:rPr>
                <w:rFonts w:ascii="Calibri" w:eastAsia="Times New Roman" w:hAnsi="Calibri" w:cs="Calibri"/>
                <w:b/>
                <w:bCs/>
                <w:color w:val="000000"/>
              </w:rPr>
            </w:pPr>
            <w:r w:rsidRPr="00434A25">
              <w:rPr>
                <w:rFonts w:ascii="Calibri" w:eastAsia="Times New Roman" w:hAnsi="Calibri" w:cs="Calibri"/>
                <w:b/>
                <w:bCs/>
                <w:color w:val="000000"/>
              </w:rPr>
              <w:t>Measures</w:t>
            </w:r>
          </w:p>
        </w:tc>
        <w:tc>
          <w:tcPr>
            <w:tcW w:w="634" w:type="dxa"/>
            <w:tcBorders>
              <w:top w:val="nil"/>
              <w:left w:val="nil"/>
              <w:bottom w:val="single" w:sz="4" w:space="0" w:color="auto"/>
              <w:right w:val="nil"/>
            </w:tcBorders>
            <w:shd w:val="clear" w:color="000000" w:fill="DDD9C4"/>
            <w:noWrap/>
            <w:vAlign w:val="bottom"/>
            <w:hideMark/>
          </w:tcPr>
          <w:p w:rsidR="00434A25" w:rsidRPr="00434A25" w:rsidRDefault="00434A25" w:rsidP="00434A25">
            <w:pPr>
              <w:spacing w:after="0" w:line="240" w:lineRule="auto"/>
              <w:jc w:val="center"/>
              <w:rPr>
                <w:rFonts w:ascii="Calibri" w:eastAsia="Times New Roman" w:hAnsi="Calibri" w:cs="Calibri"/>
                <w:b/>
                <w:bCs/>
                <w:color w:val="000000"/>
              </w:rPr>
            </w:pPr>
            <w:r w:rsidRPr="00434A25">
              <w:rPr>
                <w:rFonts w:ascii="Calibri" w:eastAsia="Times New Roman" w:hAnsi="Calibri" w:cs="Calibri"/>
                <w:b/>
                <w:bCs/>
                <w:color w:val="000000"/>
              </w:rPr>
              <w:t>TLU</w:t>
            </w:r>
          </w:p>
        </w:tc>
        <w:tc>
          <w:tcPr>
            <w:tcW w:w="1811" w:type="dxa"/>
            <w:tcBorders>
              <w:top w:val="nil"/>
              <w:left w:val="nil"/>
              <w:bottom w:val="single" w:sz="4" w:space="0" w:color="auto"/>
              <w:right w:val="nil"/>
            </w:tcBorders>
            <w:shd w:val="clear" w:color="000000" w:fill="DDD9C4"/>
            <w:vAlign w:val="bottom"/>
            <w:hideMark/>
          </w:tcPr>
          <w:p w:rsidR="00434A25" w:rsidRPr="00434A25" w:rsidRDefault="00434A25" w:rsidP="00434A25">
            <w:pPr>
              <w:spacing w:after="0" w:line="240" w:lineRule="auto"/>
              <w:jc w:val="right"/>
              <w:rPr>
                <w:rFonts w:ascii="Calibri" w:eastAsia="Times New Roman" w:hAnsi="Calibri" w:cs="Calibri"/>
                <w:b/>
                <w:bCs/>
                <w:color w:val="000000"/>
              </w:rPr>
            </w:pPr>
            <w:r w:rsidRPr="00434A25">
              <w:rPr>
                <w:rFonts w:ascii="Calibri" w:eastAsia="Times New Roman" w:hAnsi="Calibri" w:cs="Calibri"/>
                <w:b/>
                <w:bCs/>
                <w:color w:val="000000"/>
              </w:rPr>
              <w:t>Comparison Grp Median</w:t>
            </w:r>
          </w:p>
        </w:tc>
        <w:tc>
          <w:tcPr>
            <w:tcW w:w="634" w:type="dxa"/>
            <w:tcBorders>
              <w:top w:val="nil"/>
              <w:left w:val="single" w:sz="4" w:space="0" w:color="auto"/>
              <w:bottom w:val="single" w:sz="4" w:space="0" w:color="auto"/>
              <w:right w:val="nil"/>
            </w:tcBorders>
            <w:shd w:val="clear" w:color="000000" w:fill="DDD9C4"/>
            <w:noWrap/>
            <w:vAlign w:val="bottom"/>
            <w:hideMark/>
          </w:tcPr>
          <w:p w:rsidR="00434A25" w:rsidRPr="00434A25" w:rsidRDefault="00434A25" w:rsidP="00434A25">
            <w:pPr>
              <w:spacing w:after="0" w:line="240" w:lineRule="auto"/>
              <w:jc w:val="center"/>
              <w:rPr>
                <w:rFonts w:ascii="Calibri" w:eastAsia="Times New Roman" w:hAnsi="Calibri" w:cs="Calibri"/>
                <w:b/>
                <w:bCs/>
                <w:color w:val="000000"/>
              </w:rPr>
            </w:pPr>
            <w:r w:rsidRPr="00434A25">
              <w:rPr>
                <w:rFonts w:ascii="Calibri" w:eastAsia="Times New Roman" w:hAnsi="Calibri" w:cs="Calibri"/>
                <w:b/>
                <w:bCs/>
                <w:color w:val="000000"/>
              </w:rPr>
              <w:t>TLU</w:t>
            </w:r>
          </w:p>
        </w:tc>
        <w:tc>
          <w:tcPr>
            <w:tcW w:w="1826" w:type="dxa"/>
            <w:tcBorders>
              <w:top w:val="nil"/>
              <w:left w:val="nil"/>
              <w:bottom w:val="single" w:sz="4" w:space="0" w:color="auto"/>
              <w:right w:val="single" w:sz="4" w:space="0" w:color="auto"/>
            </w:tcBorders>
            <w:shd w:val="clear" w:color="000000" w:fill="DDD9C4"/>
            <w:vAlign w:val="bottom"/>
            <w:hideMark/>
          </w:tcPr>
          <w:p w:rsidR="00434A25" w:rsidRPr="00434A25" w:rsidRDefault="00434A25" w:rsidP="00434A25">
            <w:pPr>
              <w:spacing w:after="0" w:line="240" w:lineRule="auto"/>
              <w:jc w:val="right"/>
              <w:rPr>
                <w:rFonts w:ascii="Calibri" w:eastAsia="Times New Roman" w:hAnsi="Calibri" w:cs="Calibri"/>
                <w:b/>
                <w:bCs/>
                <w:color w:val="000000"/>
              </w:rPr>
            </w:pPr>
            <w:r w:rsidRPr="00434A25">
              <w:rPr>
                <w:rFonts w:ascii="Calibri" w:eastAsia="Times New Roman" w:hAnsi="Calibri" w:cs="Calibri"/>
                <w:b/>
                <w:bCs/>
                <w:color w:val="000000"/>
              </w:rPr>
              <w:t>Comparison Grp Median</w:t>
            </w:r>
          </w:p>
        </w:tc>
      </w:tr>
      <w:tr w:rsidR="00434A25" w:rsidRPr="00434A25" w:rsidTr="00434A25">
        <w:trPr>
          <w:trHeight w:val="900"/>
          <w:jc w:val="center"/>
        </w:trPr>
        <w:tc>
          <w:tcPr>
            <w:tcW w:w="3795" w:type="dxa"/>
            <w:tcBorders>
              <w:top w:val="nil"/>
              <w:left w:val="single" w:sz="4" w:space="0" w:color="auto"/>
              <w:bottom w:val="nil"/>
              <w:right w:val="single" w:sz="4" w:space="0" w:color="auto"/>
            </w:tcBorders>
            <w:shd w:val="clear" w:color="auto" w:fill="auto"/>
            <w:vAlign w:val="bottom"/>
            <w:hideMark/>
          </w:tcPr>
          <w:p w:rsidR="00434A25" w:rsidRPr="00434A25" w:rsidRDefault="00434A25" w:rsidP="00434A25">
            <w:pPr>
              <w:spacing w:after="0" w:line="240" w:lineRule="auto"/>
              <w:rPr>
                <w:rFonts w:ascii="Calibri" w:eastAsia="Times New Roman" w:hAnsi="Calibri" w:cs="Calibri"/>
                <w:color w:val="000000"/>
              </w:rPr>
            </w:pPr>
            <w:r w:rsidRPr="00434A25">
              <w:rPr>
                <w:rFonts w:ascii="Calibri" w:eastAsia="Times New Roman" w:hAnsi="Calibri" w:cs="Calibri"/>
                <w:color w:val="000000"/>
              </w:rPr>
              <w:t>Full time Freshmen fall to fall retention 2014 &amp; 2015 Cohorts respectively</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73%</w:t>
            </w:r>
          </w:p>
        </w:tc>
        <w:tc>
          <w:tcPr>
            <w:tcW w:w="1811"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79%</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68%</w:t>
            </w:r>
          </w:p>
        </w:tc>
        <w:tc>
          <w:tcPr>
            <w:tcW w:w="1826"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78%</w:t>
            </w:r>
          </w:p>
        </w:tc>
      </w:tr>
      <w:tr w:rsidR="00434A25" w:rsidRPr="00434A25" w:rsidTr="00434A25">
        <w:trPr>
          <w:trHeight w:val="600"/>
          <w:jc w:val="center"/>
        </w:trPr>
        <w:tc>
          <w:tcPr>
            <w:tcW w:w="3795" w:type="dxa"/>
            <w:tcBorders>
              <w:top w:val="nil"/>
              <w:left w:val="single" w:sz="4" w:space="0" w:color="auto"/>
              <w:bottom w:val="nil"/>
              <w:right w:val="single" w:sz="4" w:space="0" w:color="auto"/>
            </w:tcBorders>
            <w:shd w:val="clear" w:color="auto" w:fill="auto"/>
            <w:vAlign w:val="bottom"/>
            <w:hideMark/>
          </w:tcPr>
          <w:p w:rsidR="00434A25" w:rsidRPr="00434A25" w:rsidRDefault="00434A25" w:rsidP="00434A25">
            <w:pPr>
              <w:spacing w:after="0" w:line="240" w:lineRule="auto"/>
              <w:rPr>
                <w:rFonts w:ascii="Calibri" w:eastAsia="Times New Roman" w:hAnsi="Calibri" w:cs="Calibri"/>
                <w:color w:val="000000"/>
              </w:rPr>
            </w:pPr>
            <w:r w:rsidRPr="00434A25">
              <w:rPr>
                <w:rFonts w:ascii="Calibri" w:eastAsia="Times New Roman" w:hAnsi="Calibri" w:cs="Calibri"/>
                <w:color w:val="000000"/>
              </w:rPr>
              <w:t>6-year Graduation Rate  2009 &amp; 2010 Cohorts respectively</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47%</w:t>
            </w:r>
          </w:p>
        </w:tc>
        <w:tc>
          <w:tcPr>
            <w:tcW w:w="1811"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62%</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52%</w:t>
            </w:r>
          </w:p>
        </w:tc>
        <w:tc>
          <w:tcPr>
            <w:tcW w:w="1826"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62%</w:t>
            </w:r>
          </w:p>
        </w:tc>
      </w:tr>
      <w:tr w:rsidR="00434A25" w:rsidRPr="00434A25" w:rsidTr="00434A25">
        <w:trPr>
          <w:trHeight w:val="900"/>
          <w:jc w:val="center"/>
        </w:trPr>
        <w:tc>
          <w:tcPr>
            <w:tcW w:w="3795" w:type="dxa"/>
            <w:tcBorders>
              <w:top w:val="nil"/>
              <w:left w:val="single" w:sz="4" w:space="0" w:color="auto"/>
              <w:bottom w:val="nil"/>
              <w:right w:val="single" w:sz="4" w:space="0" w:color="auto"/>
            </w:tcBorders>
            <w:shd w:val="clear" w:color="auto" w:fill="auto"/>
            <w:vAlign w:val="bottom"/>
            <w:hideMark/>
          </w:tcPr>
          <w:p w:rsidR="00434A25" w:rsidRPr="00434A25" w:rsidRDefault="00434A25" w:rsidP="00434A25">
            <w:pPr>
              <w:spacing w:after="0" w:line="240" w:lineRule="auto"/>
              <w:rPr>
                <w:rFonts w:ascii="Calibri" w:eastAsia="Times New Roman" w:hAnsi="Calibri" w:cs="Calibri"/>
                <w:color w:val="000000"/>
              </w:rPr>
            </w:pPr>
            <w:r w:rsidRPr="00434A25">
              <w:rPr>
                <w:rFonts w:ascii="Calibri" w:eastAsia="Times New Roman" w:hAnsi="Calibri" w:cs="Calibri"/>
                <w:color w:val="000000"/>
              </w:rPr>
              <w:t>6-year Graduation Rate  Black/African American Students</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43%</w:t>
            </w:r>
          </w:p>
        </w:tc>
        <w:tc>
          <w:tcPr>
            <w:tcW w:w="1811"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41%</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27%</w:t>
            </w:r>
          </w:p>
        </w:tc>
        <w:tc>
          <w:tcPr>
            <w:tcW w:w="1826"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42%</w:t>
            </w:r>
          </w:p>
        </w:tc>
      </w:tr>
      <w:tr w:rsidR="00434A25" w:rsidRPr="00434A25" w:rsidTr="00434A25">
        <w:trPr>
          <w:trHeight w:val="600"/>
          <w:jc w:val="center"/>
        </w:trPr>
        <w:tc>
          <w:tcPr>
            <w:tcW w:w="3795" w:type="dxa"/>
            <w:tcBorders>
              <w:top w:val="nil"/>
              <w:left w:val="single" w:sz="4" w:space="0" w:color="auto"/>
              <w:bottom w:val="nil"/>
              <w:right w:val="single" w:sz="4" w:space="0" w:color="auto"/>
            </w:tcBorders>
            <w:shd w:val="clear" w:color="auto" w:fill="auto"/>
            <w:vAlign w:val="bottom"/>
            <w:hideMark/>
          </w:tcPr>
          <w:p w:rsidR="00434A25" w:rsidRPr="00434A25" w:rsidRDefault="00434A25" w:rsidP="00434A25">
            <w:pPr>
              <w:spacing w:after="0" w:line="240" w:lineRule="auto"/>
              <w:rPr>
                <w:rFonts w:ascii="Calibri" w:eastAsia="Times New Roman" w:hAnsi="Calibri" w:cs="Calibri"/>
                <w:color w:val="000000"/>
              </w:rPr>
            </w:pPr>
            <w:r w:rsidRPr="00434A25">
              <w:rPr>
                <w:rFonts w:ascii="Calibri" w:eastAsia="Times New Roman" w:hAnsi="Calibri" w:cs="Calibri"/>
                <w:color w:val="000000"/>
              </w:rPr>
              <w:t>6-year Graduation Rate  Hispanic Students</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35%</w:t>
            </w:r>
          </w:p>
        </w:tc>
        <w:tc>
          <w:tcPr>
            <w:tcW w:w="1811"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50%</w:t>
            </w:r>
          </w:p>
        </w:tc>
        <w:tc>
          <w:tcPr>
            <w:tcW w:w="634" w:type="dxa"/>
            <w:tcBorders>
              <w:top w:val="nil"/>
              <w:left w:val="nil"/>
              <w:bottom w:val="nil"/>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45%</w:t>
            </w:r>
          </w:p>
        </w:tc>
        <w:tc>
          <w:tcPr>
            <w:tcW w:w="1826" w:type="dxa"/>
            <w:tcBorders>
              <w:top w:val="nil"/>
              <w:left w:val="nil"/>
              <w:bottom w:val="nil"/>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51%</w:t>
            </w:r>
          </w:p>
        </w:tc>
      </w:tr>
      <w:tr w:rsidR="00434A25" w:rsidRPr="00434A25" w:rsidTr="00434A25">
        <w:trPr>
          <w:trHeight w:val="600"/>
          <w:jc w:val="center"/>
        </w:trPr>
        <w:tc>
          <w:tcPr>
            <w:tcW w:w="3795" w:type="dxa"/>
            <w:tcBorders>
              <w:top w:val="nil"/>
              <w:left w:val="single" w:sz="4" w:space="0" w:color="auto"/>
              <w:bottom w:val="single" w:sz="4" w:space="0" w:color="auto"/>
              <w:right w:val="single" w:sz="4" w:space="0" w:color="auto"/>
            </w:tcBorders>
            <w:shd w:val="clear" w:color="auto" w:fill="auto"/>
            <w:vAlign w:val="bottom"/>
            <w:hideMark/>
          </w:tcPr>
          <w:p w:rsidR="00434A25" w:rsidRPr="00434A25" w:rsidRDefault="00434A25" w:rsidP="00434A25">
            <w:pPr>
              <w:spacing w:after="0" w:line="240" w:lineRule="auto"/>
              <w:rPr>
                <w:rFonts w:ascii="Calibri" w:eastAsia="Times New Roman" w:hAnsi="Calibri" w:cs="Calibri"/>
                <w:color w:val="000000"/>
              </w:rPr>
            </w:pPr>
            <w:r w:rsidRPr="00434A25">
              <w:rPr>
                <w:rFonts w:ascii="Calibri" w:eastAsia="Times New Roman" w:hAnsi="Calibri" w:cs="Calibri"/>
                <w:color w:val="000000"/>
              </w:rPr>
              <w:t>6-year Graduation Rate  White Students</w:t>
            </w:r>
          </w:p>
        </w:tc>
        <w:tc>
          <w:tcPr>
            <w:tcW w:w="634" w:type="dxa"/>
            <w:tcBorders>
              <w:top w:val="nil"/>
              <w:left w:val="nil"/>
              <w:bottom w:val="single" w:sz="4" w:space="0" w:color="auto"/>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54%</w:t>
            </w:r>
          </w:p>
        </w:tc>
        <w:tc>
          <w:tcPr>
            <w:tcW w:w="1811" w:type="dxa"/>
            <w:tcBorders>
              <w:top w:val="nil"/>
              <w:left w:val="nil"/>
              <w:bottom w:val="single" w:sz="4" w:space="0" w:color="auto"/>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65%</w:t>
            </w:r>
          </w:p>
        </w:tc>
        <w:tc>
          <w:tcPr>
            <w:tcW w:w="634" w:type="dxa"/>
            <w:tcBorders>
              <w:top w:val="nil"/>
              <w:left w:val="nil"/>
              <w:bottom w:val="single" w:sz="4" w:space="0" w:color="auto"/>
              <w:right w:val="nil"/>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64%</w:t>
            </w:r>
          </w:p>
        </w:tc>
        <w:tc>
          <w:tcPr>
            <w:tcW w:w="1826" w:type="dxa"/>
            <w:tcBorders>
              <w:top w:val="nil"/>
              <w:left w:val="nil"/>
              <w:bottom w:val="single" w:sz="4" w:space="0" w:color="auto"/>
              <w:right w:val="single" w:sz="4" w:space="0" w:color="auto"/>
            </w:tcBorders>
            <w:shd w:val="clear" w:color="auto" w:fill="auto"/>
            <w:noWrap/>
            <w:vAlign w:val="bottom"/>
            <w:hideMark/>
          </w:tcPr>
          <w:p w:rsidR="00434A25" w:rsidRPr="00434A25" w:rsidRDefault="00434A25" w:rsidP="00434A25">
            <w:pPr>
              <w:spacing w:after="0" w:line="240" w:lineRule="auto"/>
              <w:jc w:val="right"/>
              <w:rPr>
                <w:rFonts w:ascii="Calibri" w:eastAsia="Times New Roman" w:hAnsi="Calibri" w:cs="Calibri"/>
                <w:color w:val="000000"/>
              </w:rPr>
            </w:pPr>
            <w:r w:rsidRPr="00434A25">
              <w:rPr>
                <w:rFonts w:ascii="Calibri" w:eastAsia="Times New Roman" w:hAnsi="Calibri" w:cs="Calibri"/>
                <w:color w:val="000000"/>
              </w:rPr>
              <w:t>65%</w:t>
            </w:r>
          </w:p>
        </w:tc>
      </w:tr>
    </w:tbl>
    <w:p w:rsidR="00BE5BF2" w:rsidRPr="00412C27" w:rsidRDefault="00BE5BF2" w:rsidP="00434A25">
      <w:pPr>
        <w:rPr>
          <w:rStyle w:val="IntenseReference"/>
        </w:rPr>
      </w:pPr>
    </w:p>
    <w:sectPr w:rsidR="00BE5BF2" w:rsidRPr="00412C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25" w:rsidRDefault="00434A25" w:rsidP="00434A25">
      <w:pPr>
        <w:spacing w:after="0" w:line="240" w:lineRule="auto"/>
      </w:pPr>
      <w:r>
        <w:separator/>
      </w:r>
    </w:p>
  </w:endnote>
  <w:endnote w:type="continuationSeparator" w:id="0">
    <w:p w:rsidR="00434A25" w:rsidRDefault="00434A25" w:rsidP="0043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415631"/>
      <w:docPartObj>
        <w:docPartGallery w:val="Page Numbers (Bottom of Page)"/>
        <w:docPartUnique/>
      </w:docPartObj>
    </w:sdtPr>
    <w:sdtEndPr>
      <w:rPr>
        <w:noProof/>
      </w:rPr>
    </w:sdtEndPr>
    <w:sdtContent>
      <w:p w:rsidR="00434A25" w:rsidRDefault="00434A25">
        <w:pPr>
          <w:pStyle w:val="Footer"/>
          <w:jc w:val="right"/>
        </w:pPr>
        <w:r>
          <w:fldChar w:fldCharType="begin"/>
        </w:r>
        <w:r>
          <w:instrText xml:space="preserve"> PAGE   \* MERGEFORMAT </w:instrText>
        </w:r>
        <w:r>
          <w:fldChar w:fldCharType="separate"/>
        </w:r>
        <w:r w:rsidR="000B7A0C">
          <w:rPr>
            <w:noProof/>
          </w:rPr>
          <w:t>3</w:t>
        </w:r>
        <w:r>
          <w:rPr>
            <w:noProof/>
          </w:rPr>
          <w:fldChar w:fldCharType="end"/>
        </w:r>
      </w:p>
    </w:sdtContent>
  </w:sdt>
  <w:p w:rsidR="00434A25" w:rsidRDefault="00434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25" w:rsidRDefault="00434A25" w:rsidP="00434A25">
      <w:pPr>
        <w:spacing w:after="0" w:line="240" w:lineRule="auto"/>
      </w:pPr>
      <w:r>
        <w:separator/>
      </w:r>
    </w:p>
  </w:footnote>
  <w:footnote w:type="continuationSeparator" w:id="0">
    <w:p w:rsidR="00434A25" w:rsidRDefault="00434A25" w:rsidP="00434A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544D"/>
    <w:multiLevelType w:val="hybridMultilevel"/>
    <w:tmpl w:val="938A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77BDD"/>
    <w:multiLevelType w:val="hybridMultilevel"/>
    <w:tmpl w:val="A99C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F2"/>
    <w:rsid w:val="000B7A0C"/>
    <w:rsid w:val="00184C6F"/>
    <w:rsid w:val="00412C27"/>
    <w:rsid w:val="00434A25"/>
    <w:rsid w:val="0059137B"/>
    <w:rsid w:val="00767ED7"/>
    <w:rsid w:val="00784AB4"/>
    <w:rsid w:val="007C01A2"/>
    <w:rsid w:val="00A179C9"/>
    <w:rsid w:val="00BE5BF2"/>
    <w:rsid w:val="00C769D0"/>
    <w:rsid w:val="00DD513E"/>
    <w:rsid w:val="00EC1CFA"/>
    <w:rsid w:val="00ED71F0"/>
    <w:rsid w:val="00F26FB8"/>
    <w:rsid w:val="00F5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C3F69-7C59-49B6-A8B2-D7BFFC5E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BF2"/>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412C27"/>
    <w:rPr>
      <w:b/>
      <w:bCs/>
      <w:smallCaps/>
      <w:color w:val="5B9BD5" w:themeColor="accent1"/>
      <w:spacing w:val="5"/>
    </w:rPr>
  </w:style>
  <w:style w:type="paragraph" w:styleId="ListParagraph">
    <w:name w:val="List Paragraph"/>
    <w:basedOn w:val="Normal"/>
    <w:uiPriority w:val="34"/>
    <w:qFormat/>
    <w:rsid w:val="00184C6F"/>
    <w:pPr>
      <w:ind w:left="720"/>
      <w:contextualSpacing/>
    </w:pPr>
  </w:style>
  <w:style w:type="paragraph" w:styleId="Header">
    <w:name w:val="header"/>
    <w:basedOn w:val="Normal"/>
    <w:link w:val="HeaderChar"/>
    <w:uiPriority w:val="99"/>
    <w:unhideWhenUsed/>
    <w:rsid w:val="0043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A25"/>
  </w:style>
  <w:style w:type="paragraph" w:styleId="Footer">
    <w:name w:val="footer"/>
    <w:basedOn w:val="Normal"/>
    <w:link w:val="FooterChar"/>
    <w:uiPriority w:val="99"/>
    <w:unhideWhenUsed/>
    <w:rsid w:val="0043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2181">
      <w:bodyDiv w:val="1"/>
      <w:marLeft w:val="0"/>
      <w:marRight w:val="0"/>
      <w:marTop w:val="0"/>
      <w:marBottom w:val="0"/>
      <w:divBdr>
        <w:top w:val="none" w:sz="0" w:space="0" w:color="auto"/>
        <w:left w:val="none" w:sz="0" w:space="0" w:color="auto"/>
        <w:bottom w:val="none" w:sz="0" w:space="0" w:color="auto"/>
        <w:right w:val="none" w:sz="0" w:space="0" w:color="auto"/>
      </w:divBdr>
    </w:div>
    <w:div w:id="342631314">
      <w:bodyDiv w:val="1"/>
      <w:marLeft w:val="0"/>
      <w:marRight w:val="0"/>
      <w:marTop w:val="0"/>
      <w:marBottom w:val="0"/>
      <w:divBdr>
        <w:top w:val="none" w:sz="0" w:space="0" w:color="auto"/>
        <w:left w:val="none" w:sz="0" w:space="0" w:color="auto"/>
        <w:bottom w:val="none" w:sz="0" w:space="0" w:color="auto"/>
        <w:right w:val="none" w:sz="0" w:space="0" w:color="auto"/>
      </w:divBdr>
    </w:div>
    <w:div w:id="456072457">
      <w:bodyDiv w:val="1"/>
      <w:marLeft w:val="0"/>
      <w:marRight w:val="0"/>
      <w:marTop w:val="0"/>
      <w:marBottom w:val="0"/>
      <w:divBdr>
        <w:top w:val="none" w:sz="0" w:space="0" w:color="auto"/>
        <w:left w:val="none" w:sz="0" w:space="0" w:color="auto"/>
        <w:bottom w:val="none" w:sz="0" w:space="0" w:color="auto"/>
        <w:right w:val="none" w:sz="0" w:space="0" w:color="auto"/>
      </w:divBdr>
    </w:div>
    <w:div w:id="737674615">
      <w:bodyDiv w:val="1"/>
      <w:marLeft w:val="0"/>
      <w:marRight w:val="0"/>
      <w:marTop w:val="0"/>
      <w:marBottom w:val="0"/>
      <w:divBdr>
        <w:top w:val="none" w:sz="0" w:space="0" w:color="auto"/>
        <w:left w:val="none" w:sz="0" w:space="0" w:color="auto"/>
        <w:bottom w:val="none" w:sz="0" w:space="0" w:color="auto"/>
        <w:right w:val="none" w:sz="0" w:space="0" w:color="auto"/>
      </w:divBdr>
    </w:div>
    <w:div w:id="809706675">
      <w:bodyDiv w:val="1"/>
      <w:marLeft w:val="0"/>
      <w:marRight w:val="0"/>
      <w:marTop w:val="0"/>
      <w:marBottom w:val="0"/>
      <w:divBdr>
        <w:top w:val="none" w:sz="0" w:space="0" w:color="auto"/>
        <w:left w:val="none" w:sz="0" w:space="0" w:color="auto"/>
        <w:bottom w:val="none" w:sz="0" w:space="0" w:color="auto"/>
        <w:right w:val="none" w:sz="0" w:space="0" w:color="auto"/>
      </w:divBdr>
    </w:div>
    <w:div w:id="906500088">
      <w:bodyDiv w:val="1"/>
      <w:marLeft w:val="0"/>
      <w:marRight w:val="0"/>
      <w:marTop w:val="0"/>
      <w:marBottom w:val="0"/>
      <w:divBdr>
        <w:top w:val="none" w:sz="0" w:space="0" w:color="auto"/>
        <w:left w:val="none" w:sz="0" w:space="0" w:color="auto"/>
        <w:bottom w:val="none" w:sz="0" w:space="0" w:color="auto"/>
        <w:right w:val="none" w:sz="0" w:space="0" w:color="auto"/>
      </w:divBdr>
    </w:div>
    <w:div w:id="1190415451">
      <w:bodyDiv w:val="1"/>
      <w:marLeft w:val="0"/>
      <w:marRight w:val="0"/>
      <w:marTop w:val="0"/>
      <w:marBottom w:val="0"/>
      <w:divBdr>
        <w:top w:val="none" w:sz="0" w:space="0" w:color="auto"/>
        <w:left w:val="none" w:sz="0" w:space="0" w:color="auto"/>
        <w:bottom w:val="none" w:sz="0" w:space="0" w:color="auto"/>
        <w:right w:val="none" w:sz="0" w:space="0" w:color="auto"/>
      </w:divBdr>
    </w:div>
    <w:div w:id="1572354387">
      <w:bodyDiv w:val="1"/>
      <w:marLeft w:val="0"/>
      <w:marRight w:val="0"/>
      <w:marTop w:val="0"/>
      <w:marBottom w:val="0"/>
      <w:divBdr>
        <w:top w:val="none" w:sz="0" w:space="0" w:color="auto"/>
        <w:left w:val="none" w:sz="0" w:space="0" w:color="auto"/>
        <w:bottom w:val="none" w:sz="0" w:space="0" w:color="auto"/>
        <w:right w:val="none" w:sz="0" w:space="0" w:color="auto"/>
      </w:divBdr>
    </w:div>
    <w:div w:id="1890875360">
      <w:bodyDiv w:val="1"/>
      <w:marLeft w:val="0"/>
      <w:marRight w:val="0"/>
      <w:marTop w:val="0"/>
      <w:marBottom w:val="0"/>
      <w:divBdr>
        <w:top w:val="none" w:sz="0" w:space="0" w:color="auto"/>
        <w:left w:val="none" w:sz="0" w:space="0" w:color="auto"/>
        <w:bottom w:val="none" w:sz="0" w:space="0" w:color="auto"/>
        <w:right w:val="none" w:sz="0" w:space="0" w:color="auto"/>
      </w:divBdr>
    </w:div>
    <w:div w:id="20774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Texas Lutheran University</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Constable</dc:creator>
  <cp:keywords/>
  <dc:description/>
  <cp:lastModifiedBy>Jean Constable</cp:lastModifiedBy>
  <cp:revision>8</cp:revision>
  <dcterms:created xsi:type="dcterms:W3CDTF">2018-01-31T14:15:00Z</dcterms:created>
  <dcterms:modified xsi:type="dcterms:W3CDTF">2018-03-06T23:06:00Z</dcterms:modified>
</cp:coreProperties>
</file>